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37A5E" w14:textId="77777777" w:rsidR="00E850F7" w:rsidRDefault="00E850F7" w:rsidP="00E850F7">
      <w:pPr>
        <w:pStyle w:val="Default"/>
      </w:pPr>
    </w:p>
    <w:p w14:paraId="4121E2C6" w14:textId="77777777" w:rsidR="00B55D67" w:rsidRDefault="00E850F7" w:rsidP="00E850F7">
      <w:pPr>
        <w:pStyle w:val="Default"/>
        <w:rPr>
          <w:sz w:val="22"/>
          <w:szCs w:val="22"/>
        </w:rPr>
      </w:pPr>
      <w:r w:rsidRPr="00B55D67">
        <w:rPr>
          <w:sz w:val="22"/>
          <w:szCs w:val="22"/>
        </w:rPr>
        <w:t xml:space="preserve"> </w:t>
      </w:r>
    </w:p>
    <w:p w14:paraId="0BB89DCE" w14:textId="77777777" w:rsidR="00B55D67" w:rsidRDefault="00B55D67" w:rsidP="00E850F7">
      <w:pPr>
        <w:pStyle w:val="Default"/>
        <w:rPr>
          <w:sz w:val="22"/>
          <w:szCs w:val="22"/>
        </w:rPr>
      </w:pPr>
    </w:p>
    <w:p w14:paraId="17801AB1" w14:textId="77777777" w:rsidR="00B55D67" w:rsidRDefault="00B55D67" w:rsidP="00E850F7">
      <w:pPr>
        <w:pStyle w:val="Default"/>
        <w:rPr>
          <w:sz w:val="22"/>
          <w:szCs w:val="22"/>
        </w:rPr>
      </w:pPr>
    </w:p>
    <w:p w14:paraId="36F1AB1D" w14:textId="77777777" w:rsidR="00B55D67" w:rsidRDefault="00B55D67" w:rsidP="00E850F7">
      <w:pPr>
        <w:pStyle w:val="Default"/>
        <w:rPr>
          <w:sz w:val="22"/>
          <w:szCs w:val="22"/>
        </w:rPr>
      </w:pPr>
    </w:p>
    <w:p w14:paraId="205D51B7" w14:textId="77777777" w:rsidR="00B55D67" w:rsidRDefault="00B55D67" w:rsidP="00E850F7">
      <w:pPr>
        <w:pStyle w:val="Default"/>
        <w:rPr>
          <w:sz w:val="22"/>
          <w:szCs w:val="22"/>
        </w:rPr>
      </w:pPr>
    </w:p>
    <w:p w14:paraId="2CD78900" w14:textId="77777777" w:rsidR="00B55D67" w:rsidRDefault="00B55D67" w:rsidP="00B310C2">
      <w:pPr>
        <w:pStyle w:val="Default"/>
        <w:jc w:val="both"/>
        <w:rPr>
          <w:sz w:val="22"/>
          <w:szCs w:val="22"/>
        </w:rPr>
      </w:pPr>
    </w:p>
    <w:p w14:paraId="636D6FC7" w14:textId="77777777" w:rsidR="00B55D67" w:rsidRDefault="00B55D67" w:rsidP="00B310C2">
      <w:pPr>
        <w:pStyle w:val="Default"/>
        <w:jc w:val="both"/>
        <w:rPr>
          <w:sz w:val="22"/>
          <w:szCs w:val="22"/>
        </w:rPr>
      </w:pPr>
    </w:p>
    <w:p w14:paraId="7BE84DCC" w14:textId="77777777" w:rsidR="00B55D67" w:rsidRDefault="00B55D67" w:rsidP="00B310C2">
      <w:pPr>
        <w:pStyle w:val="Default"/>
        <w:jc w:val="both"/>
        <w:rPr>
          <w:sz w:val="22"/>
          <w:szCs w:val="22"/>
        </w:rPr>
      </w:pPr>
    </w:p>
    <w:p w14:paraId="2CB9E620" w14:textId="06270021" w:rsidR="00B55D67" w:rsidRDefault="00B310C2" w:rsidP="00B310C2">
      <w:pPr>
        <w:pStyle w:val="Default"/>
        <w:jc w:val="both"/>
        <w:rPr>
          <w:sz w:val="22"/>
          <w:szCs w:val="22"/>
        </w:rPr>
      </w:pPr>
      <w:r>
        <w:rPr>
          <w:noProof/>
        </w:rPr>
        <w:drawing>
          <wp:inline distT="0" distB="0" distL="0" distR="0" wp14:anchorId="213CA0BF" wp14:editId="1B2D7E5E">
            <wp:extent cx="5103261" cy="1695450"/>
            <wp:effectExtent l="0" t="0" r="2540" b="0"/>
            <wp:docPr id="2" name="Imagen 1" descr="Logotipo&#10;&#10;El contenido generado por IA puede ser incorrecto.">
              <a:extLst xmlns:a="http://schemas.openxmlformats.org/drawingml/2006/main">
                <a:ext uri="{FF2B5EF4-FFF2-40B4-BE49-F238E27FC236}">
                  <a16:creationId xmlns:a16="http://schemas.microsoft.com/office/drawing/2014/main" id="{57D39FC9-252C-DDB2-0DA5-C2882909126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Logotipo&#10;&#10;El contenido generado por IA puede ser incorrecto.">
                      <a:extLst>
                        <a:ext uri="{FF2B5EF4-FFF2-40B4-BE49-F238E27FC236}">
                          <a16:creationId xmlns:a16="http://schemas.microsoft.com/office/drawing/2014/main" id="{57D39FC9-252C-DDB2-0DA5-C2882909126C}"/>
                        </a:ext>
                      </a:extLst>
                    </pic:cNvPr>
                    <pic:cNvPicPr>
                      <a:picLocks noChangeAspect="1"/>
                    </pic:cNvPicPr>
                  </pic:nvPicPr>
                  <pic:blipFill>
                    <a:blip r:embed="rId7"/>
                    <a:stretch>
                      <a:fillRect/>
                    </a:stretch>
                  </pic:blipFill>
                  <pic:spPr>
                    <a:xfrm>
                      <a:off x="0" y="0"/>
                      <a:ext cx="5167137" cy="1716671"/>
                    </a:xfrm>
                    <a:prstGeom prst="rect">
                      <a:avLst/>
                    </a:prstGeom>
                  </pic:spPr>
                </pic:pic>
              </a:graphicData>
            </a:graphic>
          </wp:inline>
        </w:drawing>
      </w:r>
    </w:p>
    <w:p w14:paraId="0222F7F0" w14:textId="77777777" w:rsidR="00B55D67" w:rsidRDefault="00B55D67" w:rsidP="00B310C2">
      <w:pPr>
        <w:pStyle w:val="Default"/>
        <w:jc w:val="both"/>
        <w:rPr>
          <w:sz w:val="22"/>
          <w:szCs w:val="22"/>
        </w:rPr>
      </w:pPr>
    </w:p>
    <w:p w14:paraId="7B4F42E5" w14:textId="77777777" w:rsidR="00B55D67" w:rsidRDefault="00B55D67" w:rsidP="00E850F7">
      <w:pPr>
        <w:pStyle w:val="Default"/>
        <w:rPr>
          <w:sz w:val="22"/>
          <w:szCs w:val="22"/>
        </w:rPr>
      </w:pPr>
    </w:p>
    <w:p w14:paraId="140AD63B" w14:textId="77777777" w:rsidR="00B55D67" w:rsidRDefault="00B55D67" w:rsidP="00E850F7">
      <w:pPr>
        <w:pStyle w:val="Default"/>
        <w:rPr>
          <w:sz w:val="22"/>
          <w:szCs w:val="22"/>
        </w:rPr>
      </w:pPr>
    </w:p>
    <w:p w14:paraId="0E7CDC19" w14:textId="77777777" w:rsidR="00B55D67" w:rsidRDefault="00B55D67" w:rsidP="00E850F7">
      <w:pPr>
        <w:pStyle w:val="Default"/>
        <w:rPr>
          <w:sz w:val="22"/>
          <w:szCs w:val="22"/>
        </w:rPr>
      </w:pPr>
    </w:p>
    <w:p w14:paraId="16D4FF16" w14:textId="77777777" w:rsidR="00B55D67" w:rsidRDefault="00B55D67" w:rsidP="00E850F7">
      <w:pPr>
        <w:pStyle w:val="Default"/>
        <w:rPr>
          <w:sz w:val="22"/>
          <w:szCs w:val="22"/>
        </w:rPr>
      </w:pPr>
    </w:p>
    <w:p w14:paraId="3E2528D1" w14:textId="77777777" w:rsidR="00B55D67" w:rsidRDefault="00B55D67" w:rsidP="00E850F7">
      <w:pPr>
        <w:pStyle w:val="Default"/>
        <w:rPr>
          <w:sz w:val="22"/>
          <w:szCs w:val="22"/>
        </w:rPr>
      </w:pPr>
    </w:p>
    <w:p w14:paraId="6D9A6E0B" w14:textId="044AA193" w:rsidR="00E850F7" w:rsidRPr="00B55D67" w:rsidRDefault="00E850F7" w:rsidP="00E850F7">
      <w:pPr>
        <w:pStyle w:val="Default"/>
        <w:rPr>
          <w:color w:val="626A1A" w:themeColor="accent3" w:themeShade="80"/>
          <w:sz w:val="32"/>
          <w:szCs w:val="32"/>
        </w:rPr>
      </w:pPr>
      <w:r w:rsidRPr="00B55D67">
        <w:rPr>
          <w:b/>
          <w:bCs/>
          <w:color w:val="626A1A" w:themeColor="accent3" w:themeShade="80"/>
          <w:sz w:val="32"/>
          <w:szCs w:val="32"/>
        </w:rPr>
        <w:t xml:space="preserve">INFORMACIÓN CON RELEVANCIA PRUDENCIAL </w:t>
      </w:r>
    </w:p>
    <w:p w14:paraId="1BE46583" w14:textId="77777777" w:rsidR="00B55D67" w:rsidRDefault="00B55D67" w:rsidP="00E850F7">
      <w:pPr>
        <w:pStyle w:val="Default"/>
        <w:rPr>
          <w:sz w:val="22"/>
          <w:szCs w:val="22"/>
        </w:rPr>
      </w:pPr>
    </w:p>
    <w:p w14:paraId="26895B39" w14:textId="77777777" w:rsidR="00B55D67" w:rsidRDefault="00B55D67" w:rsidP="00E850F7">
      <w:pPr>
        <w:pStyle w:val="Default"/>
        <w:rPr>
          <w:sz w:val="22"/>
          <w:szCs w:val="22"/>
        </w:rPr>
      </w:pPr>
    </w:p>
    <w:p w14:paraId="2B766E2D" w14:textId="77777777" w:rsidR="00B55D67" w:rsidRDefault="00B55D67" w:rsidP="00E850F7">
      <w:pPr>
        <w:pStyle w:val="Default"/>
        <w:rPr>
          <w:sz w:val="22"/>
          <w:szCs w:val="22"/>
        </w:rPr>
      </w:pPr>
    </w:p>
    <w:p w14:paraId="75E15390" w14:textId="77777777" w:rsidR="00B55D67" w:rsidRDefault="00B55D67" w:rsidP="00E850F7">
      <w:pPr>
        <w:pStyle w:val="Default"/>
        <w:rPr>
          <w:sz w:val="22"/>
          <w:szCs w:val="22"/>
        </w:rPr>
      </w:pPr>
    </w:p>
    <w:p w14:paraId="6B3EA6B4" w14:textId="77777777" w:rsidR="00B55D67" w:rsidRDefault="00B55D67" w:rsidP="00E850F7">
      <w:pPr>
        <w:pStyle w:val="Default"/>
        <w:rPr>
          <w:sz w:val="22"/>
          <w:szCs w:val="22"/>
        </w:rPr>
      </w:pPr>
    </w:p>
    <w:p w14:paraId="3124C02E" w14:textId="77777777" w:rsidR="00B55D67" w:rsidRDefault="00B55D67" w:rsidP="00E850F7">
      <w:pPr>
        <w:pStyle w:val="Default"/>
        <w:rPr>
          <w:sz w:val="22"/>
          <w:szCs w:val="22"/>
        </w:rPr>
      </w:pPr>
    </w:p>
    <w:p w14:paraId="531A8710" w14:textId="77777777" w:rsidR="00B55D67" w:rsidRDefault="00B55D67" w:rsidP="00E850F7">
      <w:pPr>
        <w:pStyle w:val="Default"/>
        <w:rPr>
          <w:sz w:val="22"/>
          <w:szCs w:val="22"/>
        </w:rPr>
      </w:pPr>
    </w:p>
    <w:p w14:paraId="437A03F7" w14:textId="77777777" w:rsidR="00B55D67" w:rsidRDefault="00B55D67" w:rsidP="00E850F7">
      <w:pPr>
        <w:pStyle w:val="Default"/>
        <w:rPr>
          <w:sz w:val="22"/>
          <w:szCs w:val="22"/>
        </w:rPr>
      </w:pPr>
    </w:p>
    <w:p w14:paraId="003F88FD" w14:textId="77777777" w:rsidR="00B55D67" w:rsidRDefault="00B55D67" w:rsidP="00E850F7">
      <w:pPr>
        <w:pStyle w:val="Default"/>
        <w:rPr>
          <w:sz w:val="22"/>
          <w:szCs w:val="22"/>
        </w:rPr>
      </w:pPr>
    </w:p>
    <w:p w14:paraId="12D40499" w14:textId="77777777" w:rsidR="00B55D67" w:rsidRDefault="00B55D67" w:rsidP="00E850F7">
      <w:pPr>
        <w:pStyle w:val="Default"/>
        <w:rPr>
          <w:sz w:val="22"/>
          <w:szCs w:val="22"/>
        </w:rPr>
      </w:pPr>
    </w:p>
    <w:p w14:paraId="7E5A6230" w14:textId="77777777" w:rsidR="00B55D67" w:rsidRDefault="00B55D67" w:rsidP="00E850F7">
      <w:pPr>
        <w:pStyle w:val="Default"/>
        <w:rPr>
          <w:sz w:val="22"/>
          <w:szCs w:val="22"/>
        </w:rPr>
      </w:pPr>
    </w:p>
    <w:p w14:paraId="7BFE5C52" w14:textId="77777777" w:rsidR="00B55D67" w:rsidRDefault="00B55D67" w:rsidP="00E850F7">
      <w:pPr>
        <w:pStyle w:val="Default"/>
        <w:rPr>
          <w:sz w:val="22"/>
          <w:szCs w:val="22"/>
        </w:rPr>
      </w:pPr>
    </w:p>
    <w:p w14:paraId="31645BF1" w14:textId="77777777" w:rsidR="00B55D67" w:rsidRDefault="00B55D67" w:rsidP="00E850F7">
      <w:pPr>
        <w:pStyle w:val="Default"/>
        <w:rPr>
          <w:sz w:val="22"/>
          <w:szCs w:val="22"/>
        </w:rPr>
      </w:pPr>
    </w:p>
    <w:p w14:paraId="031CEC6E" w14:textId="77777777" w:rsidR="00B55D67" w:rsidRDefault="00B55D67" w:rsidP="00E850F7">
      <w:pPr>
        <w:pStyle w:val="Default"/>
        <w:rPr>
          <w:sz w:val="22"/>
          <w:szCs w:val="22"/>
        </w:rPr>
      </w:pPr>
    </w:p>
    <w:p w14:paraId="587C8C9D" w14:textId="4D77EB6E" w:rsidR="00E850F7" w:rsidRPr="00B310C2" w:rsidRDefault="00B55D67" w:rsidP="00B55D67">
      <w:pPr>
        <w:pStyle w:val="Default"/>
        <w:ind w:left="4248" w:firstLine="708"/>
        <w:rPr>
          <w:sz w:val="22"/>
          <w:szCs w:val="22"/>
        </w:rPr>
      </w:pPr>
      <w:r w:rsidRPr="00B310C2">
        <w:rPr>
          <w:sz w:val="22"/>
          <w:szCs w:val="22"/>
        </w:rPr>
        <w:t>BANGE CREDIT</w:t>
      </w:r>
      <w:r w:rsidR="00E850F7" w:rsidRPr="00B310C2">
        <w:rPr>
          <w:sz w:val="22"/>
          <w:szCs w:val="22"/>
        </w:rPr>
        <w:t>, E.F.C., S.A.</w:t>
      </w:r>
      <w:r w:rsidRPr="00B310C2">
        <w:rPr>
          <w:sz w:val="22"/>
          <w:szCs w:val="22"/>
        </w:rPr>
        <w:t>U.</w:t>
      </w:r>
      <w:r w:rsidR="00E850F7" w:rsidRPr="00B310C2">
        <w:rPr>
          <w:sz w:val="22"/>
          <w:szCs w:val="22"/>
        </w:rPr>
        <w:t xml:space="preserve"> </w:t>
      </w:r>
    </w:p>
    <w:p w14:paraId="3ED6AE88" w14:textId="23CE991E" w:rsidR="00E850F7" w:rsidRPr="00B55D67" w:rsidRDefault="00B55D67" w:rsidP="00B55D67">
      <w:pPr>
        <w:pStyle w:val="Default"/>
        <w:ind w:left="4248" w:firstLine="708"/>
        <w:rPr>
          <w:color w:val="auto"/>
          <w:sz w:val="22"/>
          <w:szCs w:val="22"/>
        </w:rPr>
      </w:pPr>
      <w:r>
        <w:rPr>
          <w:sz w:val="22"/>
          <w:szCs w:val="22"/>
        </w:rPr>
        <w:t>Calle Serrano</w:t>
      </w:r>
      <w:r w:rsidR="00E850F7" w:rsidRPr="00B55D67">
        <w:rPr>
          <w:sz w:val="22"/>
          <w:szCs w:val="22"/>
        </w:rPr>
        <w:t xml:space="preserve">, </w:t>
      </w:r>
      <w:r>
        <w:rPr>
          <w:sz w:val="22"/>
          <w:szCs w:val="22"/>
        </w:rPr>
        <w:t>106</w:t>
      </w:r>
      <w:r w:rsidR="00E850F7" w:rsidRPr="00B55D67">
        <w:rPr>
          <w:sz w:val="22"/>
          <w:szCs w:val="22"/>
        </w:rPr>
        <w:t>; 280</w:t>
      </w:r>
      <w:r>
        <w:rPr>
          <w:sz w:val="22"/>
          <w:szCs w:val="22"/>
        </w:rPr>
        <w:t>06</w:t>
      </w:r>
      <w:r w:rsidR="00E850F7" w:rsidRPr="00B55D67">
        <w:rPr>
          <w:sz w:val="22"/>
          <w:szCs w:val="22"/>
        </w:rPr>
        <w:t xml:space="preserve">, Madrid </w:t>
      </w:r>
    </w:p>
    <w:p w14:paraId="4CF26050" w14:textId="77777777" w:rsidR="00E850F7" w:rsidRPr="00B55D67" w:rsidRDefault="00E850F7" w:rsidP="00E850F7">
      <w:pPr>
        <w:pStyle w:val="Default"/>
        <w:rPr>
          <w:color w:val="auto"/>
          <w:sz w:val="22"/>
          <w:szCs w:val="22"/>
        </w:rPr>
      </w:pPr>
    </w:p>
    <w:p w14:paraId="511E6F4F" w14:textId="53559204" w:rsidR="00B55D67" w:rsidRPr="00B55D67" w:rsidRDefault="00E850F7" w:rsidP="00E850F7">
      <w:pPr>
        <w:pStyle w:val="Default"/>
        <w:pageBreakBefore/>
        <w:rPr>
          <w:color w:val="365F91"/>
          <w:sz w:val="22"/>
          <w:szCs w:val="22"/>
        </w:rPr>
      </w:pPr>
      <w:r w:rsidRPr="00B55D67">
        <w:rPr>
          <w:b/>
          <w:bCs/>
          <w:color w:val="626A1A" w:themeColor="accent3" w:themeShade="80"/>
          <w:sz w:val="22"/>
          <w:szCs w:val="22"/>
        </w:rPr>
        <w:lastRenderedPageBreak/>
        <w:t xml:space="preserve">Índice </w:t>
      </w:r>
    </w:p>
    <w:p w14:paraId="1CA27F0D" w14:textId="197728CF" w:rsidR="00E850F7" w:rsidRDefault="00E850F7" w:rsidP="00FF498E">
      <w:pPr>
        <w:pStyle w:val="Default"/>
        <w:rPr>
          <w:sz w:val="20"/>
          <w:szCs w:val="20"/>
        </w:rPr>
      </w:pPr>
    </w:p>
    <w:tbl>
      <w:tblPr>
        <w:tblStyle w:val="Tablaconcuadrcula"/>
        <w:tblW w:w="9634" w:type="dxa"/>
        <w:tblLook w:val="04A0" w:firstRow="1" w:lastRow="0" w:firstColumn="1" w:lastColumn="0" w:noHBand="0" w:noVBand="1"/>
      </w:tblPr>
      <w:tblGrid>
        <w:gridCol w:w="985"/>
        <w:gridCol w:w="7232"/>
        <w:gridCol w:w="1417"/>
      </w:tblGrid>
      <w:tr w:rsidR="00B55D67" w14:paraId="13925601" w14:textId="77777777" w:rsidTr="00326A38">
        <w:tc>
          <w:tcPr>
            <w:tcW w:w="985" w:type="dxa"/>
            <w:tcBorders>
              <w:bottom w:val="single" w:sz="4" w:space="0" w:color="auto"/>
            </w:tcBorders>
            <w:shd w:val="clear" w:color="auto" w:fill="D1E7A8" w:themeFill="accent2" w:themeFillTint="66"/>
          </w:tcPr>
          <w:p w14:paraId="647A9A8A" w14:textId="5F98EFAA" w:rsidR="00B55D67" w:rsidRPr="00662A7D" w:rsidRDefault="00FF498E" w:rsidP="00FF498E">
            <w:pPr>
              <w:pStyle w:val="Default"/>
              <w:jc w:val="center"/>
              <w:rPr>
                <w:sz w:val="22"/>
                <w:szCs w:val="22"/>
              </w:rPr>
            </w:pPr>
            <w:r w:rsidRPr="00662A7D">
              <w:rPr>
                <w:sz w:val="22"/>
                <w:szCs w:val="22"/>
              </w:rPr>
              <w:t>Numero</w:t>
            </w:r>
          </w:p>
        </w:tc>
        <w:tc>
          <w:tcPr>
            <w:tcW w:w="7232" w:type="dxa"/>
            <w:tcBorders>
              <w:bottom w:val="single" w:sz="4" w:space="0" w:color="auto"/>
            </w:tcBorders>
            <w:shd w:val="clear" w:color="auto" w:fill="D1E7A8" w:themeFill="accent2" w:themeFillTint="66"/>
          </w:tcPr>
          <w:p w14:paraId="4E879445" w14:textId="19C51848" w:rsidR="00B55D67" w:rsidRPr="00662A7D" w:rsidRDefault="00FF498E" w:rsidP="00326A38">
            <w:pPr>
              <w:pStyle w:val="Default"/>
              <w:rPr>
                <w:sz w:val="22"/>
                <w:szCs w:val="22"/>
              </w:rPr>
            </w:pPr>
            <w:r w:rsidRPr="00662A7D">
              <w:rPr>
                <w:sz w:val="22"/>
                <w:szCs w:val="22"/>
              </w:rPr>
              <w:t>Detalle</w:t>
            </w:r>
          </w:p>
        </w:tc>
        <w:tc>
          <w:tcPr>
            <w:tcW w:w="1417" w:type="dxa"/>
            <w:tcBorders>
              <w:bottom w:val="single" w:sz="4" w:space="0" w:color="auto"/>
            </w:tcBorders>
            <w:shd w:val="clear" w:color="auto" w:fill="D1E7A8" w:themeFill="accent2" w:themeFillTint="66"/>
          </w:tcPr>
          <w:p w14:paraId="425009BC" w14:textId="535A42F1" w:rsidR="00B55D67" w:rsidRPr="00662A7D" w:rsidRDefault="00FF498E" w:rsidP="00FF498E">
            <w:pPr>
              <w:pStyle w:val="Default"/>
              <w:jc w:val="center"/>
              <w:rPr>
                <w:sz w:val="22"/>
                <w:szCs w:val="22"/>
              </w:rPr>
            </w:pPr>
            <w:r w:rsidRPr="00662A7D">
              <w:rPr>
                <w:sz w:val="22"/>
                <w:szCs w:val="22"/>
              </w:rPr>
              <w:t xml:space="preserve">Página </w:t>
            </w:r>
            <w:proofErr w:type="spellStart"/>
            <w:r w:rsidRPr="00662A7D">
              <w:rPr>
                <w:sz w:val="22"/>
                <w:szCs w:val="22"/>
              </w:rPr>
              <w:t>doc</w:t>
            </w:r>
            <w:proofErr w:type="spellEnd"/>
          </w:p>
        </w:tc>
      </w:tr>
      <w:tr w:rsidR="00B55D67" w14:paraId="75FE7784" w14:textId="77777777" w:rsidTr="00326A38">
        <w:tc>
          <w:tcPr>
            <w:tcW w:w="985" w:type="dxa"/>
            <w:tcBorders>
              <w:top w:val="single" w:sz="4" w:space="0" w:color="auto"/>
              <w:left w:val="nil"/>
              <w:bottom w:val="nil"/>
              <w:right w:val="nil"/>
            </w:tcBorders>
          </w:tcPr>
          <w:p w14:paraId="6FFA1CA2" w14:textId="54AC06B0" w:rsidR="00B55D67" w:rsidRPr="00662A7D" w:rsidRDefault="00FF498E" w:rsidP="00B55D67">
            <w:pPr>
              <w:pStyle w:val="Default"/>
              <w:rPr>
                <w:sz w:val="22"/>
                <w:szCs w:val="22"/>
              </w:rPr>
            </w:pPr>
            <w:r w:rsidRPr="00662A7D">
              <w:rPr>
                <w:sz w:val="22"/>
                <w:szCs w:val="22"/>
              </w:rPr>
              <w:t>0.</w:t>
            </w:r>
          </w:p>
        </w:tc>
        <w:tc>
          <w:tcPr>
            <w:tcW w:w="7232" w:type="dxa"/>
            <w:tcBorders>
              <w:top w:val="single" w:sz="4" w:space="0" w:color="auto"/>
              <w:left w:val="nil"/>
              <w:bottom w:val="nil"/>
              <w:right w:val="nil"/>
            </w:tcBorders>
          </w:tcPr>
          <w:p w14:paraId="69295C80" w14:textId="1D7CA21F" w:rsidR="00B55D67" w:rsidRPr="00662A7D" w:rsidRDefault="00FF498E" w:rsidP="00326A38">
            <w:pPr>
              <w:pStyle w:val="Default"/>
              <w:rPr>
                <w:sz w:val="22"/>
                <w:szCs w:val="22"/>
              </w:rPr>
            </w:pPr>
            <w:r w:rsidRPr="00662A7D">
              <w:rPr>
                <w:sz w:val="22"/>
                <w:szCs w:val="22"/>
              </w:rPr>
              <w:t>Introducción</w:t>
            </w:r>
          </w:p>
        </w:tc>
        <w:tc>
          <w:tcPr>
            <w:tcW w:w="1417" w:type="dxa"/>
            <w:tcBorders>
              <w:top w:val="single" w:sz="4" w:space="0" w:color="auto"/>
              <w:left w:val="nil"/>
              <w:bottom w:val="nil"/>
              <w:right w:val="nil"/>
            </w:tcBorders>
          </w:tcPr>
          <w:p w14:paraId="72CE78D5" w14:textId="31F83BF1" w:rsidR="00FF498E" w:rsidRPr="00662A7D" w:rsidRDefault="00FF498E" w:rsidP="00FF498E">
            <w:pPr>
              <w:pStyle w:val="Default"/>
              <w:jc w:val="center"/>
              <w:rPr>
                <w:sz w:val="22"/>
                <w:szCs w:val="22"/>
              </w:rPr>
            </w:pPr>
            <w:r w:rsidRPr="00662A7D">
              <w:rPr>
                <w:sz w:val="22"/>
                <w:szCs w:val="22"/>
              </w:rPr>
              <w:t>3</w:t>
            </w:r>
          </w:p>
        </w:tc>
      </w:tr>
      <w:tr w:rsidR="00B55D67" w14:paraId="5AE6463B" w14:textId="77777777" w:rsidTr="00326A38">
        <w:tc>
          <w:tcPr>
            <w:tcW w:w="985" w:type="dxa"/>
            <w:tcBorders>
              <w:top w:val="nil"/>
              <w:left w:val="nil"/>
              <w:bottom w:val="nil"/>
              <w:right w:val="nil"/>
            </w:tcBorders>
          </w:tcPr>
          <w:p w14:paraId="3E3BF1C6" w14:textId="0DD878DE" w:rsidR="00B55D67" w:rsidRPr="00662A7D" w:rsidRDefault="00FF498E" w:rsidP="00B55D67">
            <w:pPr>
              <w:pStyle w:val="Default"/>
              <w:rPr>
                <w:sz w:val="22"/>
                <w:szCs w:val="22"/>
              </w:rPr>
            </w:pPr>
            <w:r w:rsidRPr="00662A7D">
              <w:rPr>
                <w:sz w:val="22"/>
                <w:szCs w:val="22"/>
              </w:rPr>
              <w:t>1.</w:t>
            </w:r>
          </w:p>
        </w:tc>
        <w:tc>
          <w:tcPr>
            <w:tcW w:w="7232" w:type="dxa"/>
            <w:tcBorders>
              <w:top w:val="nil"/>
              <w:left w:val="nil"/>
              <w:bottom w:val="nil"/>
              <w:right w:val="nil"/>
            </w:tcBorders>
          </w:tcPr>
          <w:p w14:paraId="1CB70549" w14:textId="0B70E150" w:rsidR="00B55D67" w:rsidRPr="00662A7D" w:rsidRDefault="00FF498E" w:rsidP="00326A38">
            <w:pPr>
              <w:pStyle w:val="Default"/>
              <w:rPr>
                <w:sz w:val="22"/>
                <w:szCs w:val="22"/>
              </w:rPr>
            </w:pPr>
            <w:r w:rsidRPr="00662A7D">
              <w:rPr>
                <w:sz w:val="22"/>
                <w:szCs w:val="22"/>
              </w:rPr>
              <w:t>Requerimientos generales</w:t>
            </w:r>
          </w:p>
        </w:tc>
        <w:tc>
          <w:tcPr>
            <w:tcW w:w="1417" w:type="dxa"/>
            <w:tcBorders>
              <w:top w:val="nil"/>
              <w:left w:val="nil"/>
              <w:bottom w:val="nil"/>
              <w:right w:val="nil"/>
            </w:tcBorders>
          </w:tcPr>
          <w:p w14:paraId="34527885" w14:textId="09978B9B" w:rsidR="00B55D67" w:rsidRPr="00662A7D" w:rsidRDefault="00DA5A7D" w:rsidP="00FF498E">
            <w:pPr>
              <w:pStyle w:val="Default"/>
              <w:jc w:val="center"/>
              <w:rPr>
                <w:sz w:val="22"/>
                <w:szCs w:val="22"/>
              </w:rPr>
            </w:pPr>
            <w:r>
              <w:rPr>
                <w:sz w:val="22"/>
                <w:szCs w:val="22"/>
              </w:rPr>
              <w:t>5</w:t>
            </w:r>
          </w:p>
        </w:tc>
      </w:tr>
      <w:tr w:rsidR="00B55D67" w14:paraId="6AB5D1AE" w14:textId="77777777" w:rsidTr="00326A38">
        <w:tc>
          <w:tcPr>
            <w:tcW w:w="985" w:type="dxa"/>
            <w:tcBorders>
              <w:top w:val="nil"/>
              <w:left w:val="nil"/>
              <w:bottom w:val="nil"/>
              <w:right w:val="nil"/>
            </w:tcBorders>
          </w:tcPr>
          <w:p w14:paraId="4F211CF3" w14:textId="38271C72" w:rsidR="00B55D67" w:rsidRPr="00662A7D" w:rsidRDefault="00FF498E" w:rsidP="00B55D67">
            <w:pPr>
              <w:pStyle w:val="Default"/>
              <w:rPr>
                <w:sz w:val="22"/>
                <w:szCs w:val="22"/>
              </w:rPr>
            </w:pPr>
            <w:r w:rsidRPr="00662A7D">
              <w:rPr>
                <w:sz w:val="22"/>
                <w:szCs w:val="22"/>
              </w:rPr>
              <w:t>1.1.</w:t>
            </w:r>
          </w:p>
        </w:tc>
        <w:tc>
          <w:tcPr>
            <w:tcW w:w="7232" w:type="dxa"/>
            <w:tcBorders>
              <w:top w:val="nil"/>
              <w:left w:val="nil"/>
              <w:bottom w:val="nil"/>
              <w:right w:val="nil"/>
            </w:tcBorders>
          </w:tcPr>
          <w:p w14:paraId="4460761C" w14:textId="52B233B9" w:rsidR="00B55D67" w:rsidRPr="00662A7D" w:rsidRDefault="00FF498E" w:rsidP="00326A38">
            <w:pPr>
              <w:pStyle w:val="Default"/>
              <w:rPr>
                <w:sz w:val="22"/>
                <w:szCs w:val="22"/>
              </w:rPr>
            </w:pPr>
            <w:r w:rsidRPr="00662A7D">
              <w:rPr>
                <w:sz w:val="22"/>
                <w:szCs w:val="22"/>
              </w:rPr>
              <w:t>Denominación o razón social</w:t>
            </w:r>
          </w:p>
        </w:tc>
        <w:tc>
          <w:tcPr>
            <w:tcW w:w="1417" w:type="dxa"/>
            <w:tcBorders>
              <w:top w:val="nil"/>
              <w:left w:val="nil"/>
              <w:bottom w:val="nil"/>
              <w:right w:val="nil"/>
            </w:tcBorders>
          </w:tcPr>
          <w:p w14:paraId="439FF639" w14:textId="69CD9A87" w:rsidR="00B55D67" w:rsidRPr="00662A7D" w:rsidRDefault="00DA5A7D" w:rsidP="00FF498E">
            <w:pPr>
              <w:pStyle w:val="Default"/>
              <w:jc w:val="center"/>
              <w:rPr>
                <w:sz w:val="22"/>
                <w:szCs w:val="22"/>
              </w:rPr>
            </w:pPr>
            <w:r>
              <w:rPr>
                <w:sz w:val="22"/>
                <w:szCs w:val="22"/>
              </w:rPr>
              <w:t>5</w:t>
            </w:r>
          </w:p>
        </w:tc>
      </w:tr>
      <w:tr w:rsidR="00B55D67" w14:paraId="52686788" w14:textId="77777777" w:rsidTr="00326A38">
        <w:tc>
          <w:tcPr>
            <w:tcW w:w="985" w:type="dxa"/>
            <w:tcBorders>
              <w:top w:val="nil"/>
              <w:left w:val="nil"/>
              <w:bottom w:val="nil"/>
              <w:right w:val="nil"/>
            </w:tcBorders>
          </w:tcPr>
          <w:p w14:paraId="5C39EC68" w14:textId="3563F1AF" w:rsidR="00B55D67" w:rsidRPr="00662A7D" w:rsidRDefault="00FF498E" w:rsidP="00B55D67">
            <w:pPr>
              <w:pStyle w:val="Default"/>
              <w:rPr>
                <w:sz w:val="22"/>
                <w:szCs w:val="22"/>
              </w:rPr>
            </w:pPr>
            <w:r w:rsidRPr="00662A7D">
              <w:rPr>
                <w:sz w:val="22"/>
                <w:szCs w:val="22"/>
              </w:rPr>
              <w:t>1.2.</w:t>
            </w:r>
          </w:p>
        </w:tc>
        <w:tc>
          <w:tcPr>
            <w:tcW w:w="7232" w:type="dxa"/>
            <w:tcBorders>
              <w:top w:val="nil"/>
              <w:left w:val="nil"/>
              <w:bottom w:val="nil"/>
              <w:right w:val="nil"/>
            </w:tcBorders>
          </w:tcPr>
          <w:p w14:paraId="352F36B6" w14:textId="3D3CA078" w:rsidR="00B55D67" w:rsidRPr="00662A7D" w:rsidRDefault="00FF498E" w:rsidP="00326A38">
            <w:pPr>
              <w:pStyle w:val="Default"/>
              <w:rPr>
                <w:sz w:val="22"/>
                <w:szCs w:val="22"/>
              </w:rPr>
            </w:pPr>
            <w:r w:rsidRPr="00662A7D">
              <w:rPr>
                <w:sz w:val="22"/>
                <w:szCs w:val="22"/>
              </w:rPr>
              <w:t>Impedimentos para inmediata transferencia de Fondos Propios</w:t>
            </w:r>
          </w:p>
        </w:tc>
        <w:tc>
          <w:tcPr>
            <w:tcW w:w="1417" w:type="dxa"/>
            <w:tcBorders>
              <w:top w:val="nil"/>
              <w:left w:val="nil"/>
              <w:bottom w:val="nil"/>
              <w:right w:val="nil"/>
            </w:tcBorders>
          </w:tcPr>
          <w:p w14:paraId="6F52B14A" w14:textId="2510DDD5" w:rsidR="00B55D67" w:rsidRPr="00662A7D" w:rsidRDefault="00DA5A7D" w:rsidP="00FF498E">
            <w:pPr>
              <w:pStyle w:val="Default"/>
              <w:jc w:val="center"/>
              <w:rPr>
                <w:sz w:val="22"/>
                <w:szCs w:val="22"/>
              </w:rPr>
            </w:pPr>
            <w:r>
              <w:rPr>
                <w:sz w:val="22"/>
                <w:szCs w:val="22"/>
              </w:rPr>
              <w:t>5</w:t>
            </w:r>
          </w:p>
        </w:tc>
      </w:tr>
      <w:tr w:rsidR="00B55D67" w14:paraId="39C5E1D6" w14:textId="77777777" w:rsidTr="00326A38">
        <w:tc>
          <w:tcPr>
            <w:tcW w:w="985" w:type="dxa"/>
            <w:tcBorders>
              <w:top w:val="nil"/>
              <w:left w:val="nil"/>
              <w:bottom w:val="nil"/>
              <w:right w:val="nil"/>
            </w:tcBorders>
          </w:tcPr>
          <w:p w14:paraId="0A58ABCB" w14:textId="68827010" w:rsidR="00B55D67" w:rsidRPr="00662A7D" w:rsidRDefault="00FF498E" w:rsidP="00B55D67">
            <w:pPr>
              <w:pStyle w:val="Default"/>
              <w:rPr>
                <w:sz w:val="22"/>
                <w:szCs w:val="22"/>
              </w:rPr>
            </w:pPr>
            <w:r w:rsidRPr="00662A7D">
              <w:rPr>
                <w:sz w:val="22"/>
                <w:szCs w:val="22"/>
              </w:rPr>
              <w:t>1.3.</w:t>
            </w:r>
          </w:p>
        </w:tc>
        <w:tc>
          <w:tcPr>
            <w:tcW w:w="7232" w:type="dxa"/>
            <w:tcBorders>
              <w:top w:val="nil"/>
              <w:left w:val="nil"/>
              <w:bottom w:val="nil"/>
              <w:right w:val="nil"/>
            </w:tcBorders>
          </w:tcPr>
          <w:p w14:paraId="06C346FE" w14:textId="4EB42175" w:rsidR="00B55D67" w:rsidRPr="00662A7D" w:rsidRDefault="00FF498E" w:rsidP="00326A38">
            <w:pPr>
              <w:pStyle w:val="Default"/>
              <w:rPr>
                <w:sz w:val="22"/>
                <w:szCs w:val="22"/>
              </w:rPr>
            </w:pPr>
            <w:r w:rsidRPr="00662A7D">
              <w:rPr>
                <w:sz w:val="22"/>
                <w:szCs w:val="22"/>
              </w:rPr>
              <w:t>Estrategias y procesos para gestionar los riesgos</w:t>
            </w:r>
          </w:p>
        </w:tc>
        <w:tc>
          <w:tcPr>
            <w:tcW w:w="1417" w:type="dxa"/>
            <w:tcBorders>
              <w:top w:val="nil"/>
              <w:left w:val="nil"/>
              <w:bottom w:val="nil"/>
              <w:right w:val="nil"/>
            </w:tcBorders>
          </w:tcPr>
          <w:p w14:paraId="0C873340" w14:textId="3CA1AD61" w:rsidR="00B55D67" w:rsidRPr="00662A7D" w:rsidRDefault="007E0A76" w:rsidP="00FF498E">
            <w:pPr>
              <w:pStyle w:val="Default"/>
              <w:jc w:val="center"/>
              <w:rPr>
                <w:sz w:val="22"/>
                <w:szCs w:val="22"/>
              </w:rPr>
            </w:pPr>
            <w:r>
              <w:rPr>
                <w:sz w:val="22"/>
                <w:szCs w:val="22"/>
              </w:rPr>
              <w:t>5</w:t>
            </w:r>
          </w:p>
        </w:tc>
      </w:tr>
      <w:tr w:rsidR="00FF498E" w14:paraId="1859892D" w14:textId="77777777" w:rsidTr="00326A38">
        <w:tc>
          <w:tcPr>
            <w:tcW w:w="985" w:type="dxa"/>
            <w:tcBorders>
              <w:top w:val="nil"/>
              <w:left w:val="nil"/>
              <w:bottom w:val="nil"/>
              <w:right w:val="nil"/>
            </w:tcBorders>
          </w:tcPr>
          <w:p w14:paraId="76153A6D" w14:textId="1E07D0A8" w:rsidR="00FF498E" w:rsidRPr="00662A7D" w:rsidRDefault="00FF498E" w:rsidP="00B55D67">
            <w:pPr>
              <w:pStyle w:val="Default"/>
              <w:rPr>
                <w:sz w:val="22"/>
                <w:szCs w:val="22"/>
              </w:rPr>
            </w:pPr>
            <w:r w:rsidRPr="00662A7D">
              <w:rPr>
                <w:sz w:val="22"/>
                <w:szCs w:val="22"/>
              </w:rPr>
              <w:t>1.4.</w:t>
            </w:r>
          </w:p>
        </w:tc>
        <w:tc>
          <w:tcPr>
            <w:tcW w:w="7232" w:type="dxa"/>
            <w:tcBorders>
              <w:top w:val="nil"/>
              <w:left w:val="nil"/>
              <w:bottom w:val="nil"/>
              <w:right w:val="nil"/>
            </w:tcBorders>
          </w:tcPr>
          <w:p w14:paraId="276F6DA5" w14:textId="5C6D2155" w:rsidR="00FF498E" w:rsidRPr="00662A7D" w:rsidRDefault="00FF498E" w:rsidP="00326A38">
            <w:pPr>
              <w:pStyle w:val="Default"/>
              <w:rPr>
                <w:sz w:val="22"/>
                <w:szCs w:val="22"/>
              </w:rPr>
            </w:pPr>
            <w:r w:rsidRPr="00662A7D">
              <w:rPr>
                <w:sz w:val="22"/>
                <w:szCs w:val="22"/>
              </w:rPr>
              <w:t>Estructura y organización de la correspondiente función de gestión del riesgo</w:t>
            </w:r>
          </w:p>
        </w:tc>
        <w:tc>
          <w:tcPr>
            <w:tcW w:w="1417" w:type="dxa"/>
            <w:tcBorders>
              <w:top w:val="nil"/>
              <w:left w:val="nil"/>
              <w:bottom w:val="nil"/>
              <w:right w:val="nil"/>
            </w:tcBorders>
          </w:tcPr>
          <w:p w14:paraId="78CE2B21" w14:textId="02B3539C" w:rsidR="00FF498E" w:rsidRPr="00662A7D" w:rsidRDefault="00DA5A7D" w:rsidP="00FF498E">
            <w:pPr>
              <w:pStyle w:val="Default"/>
              <w:jc w:val="center"/>
              <w:rPr>
                <w:sz w:val="22"/>
                <w:szCs w:val="22"/>
              </w:rPr>
            </w:pPr>
            <w:r>
              <w:rPr>
                <w:sz w:val="22"/>
                <w:szCs w:val="22"/>
              </w:rPr>
              <w:t>6</w:t>
            </w:r>
          </w:p>
        </w:tc>
      </w:tr>
      <w:tr w:rsidR="00FF498E" w14:paraId="1C448A39" w14:textId="77777777" w:rsidTr="00326A38">
        <w:tc>
          <w:tcPr>
            <w:tcW w:w="985" w:type="dxa"/>
            <w:tcBorders>
              <w:top w:val="nil"/>
              <w:left w:val="nil"/>
              <w:bottom w:val="nil"/>
              <w:right w:val="nil"/>
            </w:tcBorders>
          </w:tcPr>
          <w:p w14:paraId="3DF04450" w14:textId="2D04F74E" w:rsidR="00FF498E" w:rsidRPr="00662A7D" w:rsidRDefault="00FF498E" w:rsidP="00B55D67">
            <w:pPr>
              <w:pStyle w:val="Default"/>
              <w:rPr>
                <w:sz w:val="22"/>
                <w:szCs w:val="22"/>
              </w:rPr>
            </w:pPr>
            <w:r w:rsidRPr="00662A7D">
              <w:rPr>
                <w:sz w:val="22"/>
                <w:szCs w:val="22"/>
              </w:rPr>
              <w:t>1.4.1.</w:t>
            </w:r>
          </w:p>
        </w:tc>
        <w:tc>
          <w:tcPr>
            <w:tcW w:w="7232" w:type="dxa"/>
            <w:tcBorders>
              <w:top w:val="nil"/>
              <w:left w:val="nil"/>
              <w:bottom w:val="nil"/>
              <w:right w:val="nil"/>
            </w:tcBorders>
          </w:tcPr>
          <w:p w14:paraId="4579770C" w14:textId="32E9677B" w:rsidR="00FF498E" w:rsidRPr="00662A7D" w:rsidRDefault="00FF498E" w:rsidP="00326A38">
            <w:pPr>
              <w:pStyle w:val="Default"/>
              <w:rPr>
                <w:sz w:val="22"/>
                <w:szCs w:val="22"/>
              </w:rPr>
            </w:pPr>
            <w:r w:rsidRPr="00662A7D">
              <w:rPr>
                <w:sz w:val="22"/>
                <w:szCs w:val="22"/>
              </w:rPr>
              <w:t>Delegación de funciones</w:t>
            </w:r>
          </w:p>
        </w:tc>
        <w:tc>
          <w:tcPr>
            <w:tcW w:w="1417" w:type="dxa"/>
            <w:tcBorders>
              <w:top w:val="nil"/>
              <w:left w:val="nil"/>
              <w:bottom w:val="nil"/>
              <w:right w:val="nil"/>
            </w:tcBorders>
          </w:tcPr>
          <w:p w14:paraId="5FD8D3DC" w14:textId="6005DF03" w:rsidR="00FF498E" w:rsidRPr="00662A7D" w:rsidRDefault="00DA5A7D" w:rsidP="00FF498E">
            <w:pPr>
              <w:pStyle w:val="Default"/>
              <w:jc w:val="center"/>
              <w:rPr>
                <w:sz w:val="22"/>
                <w:szCs w:val="22"/>
              </w:rPr>
            </w:pPr>
            <w:r>
              <w:rPr>
                <w:sz w:val="22"/>
                <w:szCs w:val="22"/>
              </w:rPr>
              <w:t>10</w:t>
            </w:r>
          </w:p>
        </w:tc>
      </w:tr>
      <w:tr w:rsidR="00FF498E" w14:paraId="0B155FE0" w14:textId="77777777" w:rsidTr="00326A38">
        <w:tc>
          <w:tcPr>
            <w:tcW w:w="985" w:type="dxa"/>
            <w:tcBorders>
              <w:top w:val="nil"/>
              <w:left w:val="nil"/>
              <w:bottom w:val="nil"/>
              <w:right w:val="nil"/>
            </w:tcBorders>
          </w:tcPr>
          <w:p w14:paraId="0C776462" w14:textId="6480B759" w:rsidR="00FF498E" w:rsidRPr="00662A7D" w:rsidRDefault="00FF498E" w:rsidP="00B55D67">
            <w:pPr>
              <w:pStyle w:val="Default"/>
              <w:rPr>
                <w:sz w:val="22"/>
                <w:szCs w:val="22"/>
              </w:rPr>
            </w:pPr>
            <w:r w:rsidRPr="00662A7D">
              <w:rPr>
                <w:sz w:val="22"/>
                <w:szCs w:val="22"/>
              </w:rPr>
              <w:t>1.5.</w:t>
            </w:r>
          </w:p>
        </w:tc>
        <w:tc>
          <w:tcPr>
            <w:tcW w:w="7232" w:type="dxa"/>
            <w:tcBorders>
              <w:top w:val="nil"/>
              <w:left w:val="nil"/>
              <w:bottom w:val="nil"/>
              <w:right w:val="nil"/>
            </w:tcBorders>
          </w:tcPr>
          <w:p w14:paraId="5B52B581" w14:textId="68B0427A" w:rsidR="00FF498E" w:rsidRPr="00662A7D" w:rsidRDefault="00FF498E" w:rsidP="00326A38">
            <w:pPr>
              <w:pStyle w:val="Default"/>
              <w:rPr>
                <w:sz w:val="22"/>
                <w:szCs w:val="22"/>
              </w:rPr>
            </w:pPr>
            <w:r w:rsidRPr="00662A7D">
              <w:rPr>
                <w:sz w:val="22"/>
                <w:szCs w:val="22"/>
              </w:rPr>
              <w:t>Alcance y naturaleza de los sistemas de medición y de información de los riesgos</w:t>
            </w:r>
          </w:p>
        </w:tc>
        <w:tc>
          <w:tcPr>
            <w:tcW w:w="1417" w:type="dxa"/>
            <w:tcBorders>
              <w:top w:val="nil"/>
              <w:left w:val="nil"/>
              <w:bottom w:val="nil"/>
              <w:right w:val="nil"/>
            </w:tcBorders>
          </w:tcPr>
          <w:p w14:paraId="0F09EEA8" w14:textId="023CB339" w:rsidR="00FF498E" w:rsidRPr="00662A7D" w:rsidRDefault="00DA5A7D" w:rsidP="00FF498E">
            <w:pPr>
              <w:pStyle w:val="Default"/>
              <w:jc w:val="center"/>
              <w:rPr>
                <w:sz w:val="22"/>
                <w:szCs w:val="22"/>
              </w:rPr>
            </w:pPr>
            <w:r>
              <w:rPr>
                <w:sz w:val="22"/>
                <w:szCs w:val="22"/>
              </w:rPr>
              <w:t>10</w:t>
            </w:r>
          </w:p>
        </w:tc>
      </w:tr>
      <w:tr w:rsidR="00FF498E" w14:paraId="405765F5" w14:textId="77777777" w:rsidTr="00326A38">
        <w:tc>
          <w:tcPr>
            <w:tcW w:w="985" w:type="dxa"/>
            <w:tcBorders>
              <w:top w:val="nil"/>
              <w:left w:val="nil"/>
              <w:bottom w:val="nil"/>
              <w:right w:val="nil"/>
            </w:tcBorders>
          </w:tcPr>
          <w:p w14:paraId="4E0BDABB" w14:textId="36C7FB65" w:rsidR="00FF498E" w:rsidRPr="00662A7D" w:rsidRDefault="00FF498E" w:rsidP="00B55D67">
            <w:pPr>
              <w:pStyle w:val="Default"/>
              <w:rPr>
                <w:sz w:val="22"/>
                <w:szCs w:val="22"/>
              </w:rPr>
            </w:pPr>
            <w:r w:rsidRPr="00662A7D">
              <w:rPr>
                <w:sz w:val="22"/>
                <w:szCs w:val="22"/>
              </w:rPr>
              <w:t>1.6.</w:t>
            </w:r>
          </w:p>
        </w:tc>
        <w:tc>
          <w:tcPr>
            <w:tcW w:w="7232" w:type="dxa"/>
            <w:tcBorders>
              <w:top w:val="nil"/>
              <w:left w:val="nil"/>
              <w:bottom w:val="nil"/>
              <w:right w:val="nil"/>
            </w:tcBorders>
          </w:tcPr>
          <w:p w14:paraId="37D32747" w14:textId="4EB6821B" w:rsidR="00FF498E" w:rsidRPr="00662A7D" w:rsidRDefault="00FF498E" w:rsidP="00326A38">
            <w:pPr>
              <w:pStyle w:val="Default"/>
              <w:rPr>
                <w:sz w:val="22"/>
                <w:szCs w:val="22"/>
              </w:rPr>
            </w:pPr>
            <w:r w:rsidRPr="00662A7D">
              <w:rPr>
                <w:sz w:val="22"/>
                <w:szCs w:val="22"/>
              </w:rPr>
              <w:t>Políticas de cobertura y reducción del riesgo. Estrategias y procesos de supervisión</w:t>
            </w:r>
          </w:p>
        </w:tc>
        <w:tc>
          <w:tcPr>
            <w:tcW w:w="1417" w:type="dxa"/>
            <w:tcBorders>
              <w:top w:val="nil"/>
              <w:left w:val="nil"/>
              <w:bottom w:val="nil"/>
              <w:right w:val="nil"/>
            </w:tcBorders>
          </w:tcPr>
          <w:p w14:paraId="3A96A57C" w14:textId="418C6415" w:rsidR="00FF498E" w:rsidRPr="00662A7D" w:rsidRDefault="00DA5A7D" w:rsidP="00FF498E">
            <w:pPr>
              <w:pStyle w:val="Default"/>
              <w:jc w:val="center"/>
              <w:rPr>
                <w:sz w:val="22"/>
                <w:szCs w:val="22"/>
              </w:rPr>
            </w:pPr>
            <w:r>
              <w:rPr>
                <w:sz w:val="22"/>
                <w:szCs w:val="22"/>
              </w:rPr>
              <w:t>10</w:t>
            </w:r>
          </w:p>
        </w:tc>
      </w:tr>
      <w:tr w:rsidR="00FF498E" w14:paraId="3EECBDB0" w14:textId="77777777" w:rsidTr="00326A38">
        <w:tc>
          <w:tcPr>
            <w:tcW w:w="985" w:type="dxa"/>
            <w:tcBorders>
              <w:top w:val="nil"/>
              <w:left w:val="nil"/>
              <w:bottom w:val="nil"/>
              <w:right w:val="nil"/>
            </w:tcBorders>
          </w:tcPr>
          <w:p w14:paraId="1D1714A8" w14:textId="31041521" w:rsidR="00FF498E" w:rsidRPr="00662A7D" w:rsidRDefault="00FF498E" w:rsidP="00B55D67">
            <w:pPr>
              <w:pStyle w:val="Default"/>
              <w:rPr>
                <w:sz w:val="22"/>
                <w:szCs w:val="22"/>
              </w:rPr>
            </w:pPr>
            <w:r w:rsidRPr="00662A7D">
              <w:rPr>
                <w:sz w:val="22"/>
                <w:szCs w:val="22"/>
              </w:rPr>
              <w:t>2</w:t>
            </w:r>
          </w:p>
        </w:tc>
        <w:tc>
          <w:tcPr>
            <w:tcW w:w="7232" w:type="dxa"/>
            <w:tcBorders>
              <w:top w:val="nil"/>
              <w:left w:val="nil"/>
              <w:bottom w:val="nil"/>
              <w:right w:val="nil"/>
            </w:tcBorders>
          </w:tcPr>
          <w:p w14:paraId="198035D1" w14:textId="346E3854" w:rsidR="00FF498E" w:rsidRPr="00662A7D" w:rsidRDefault="00FF498E" w:rsidP="00326A38">
            <w:pPr>
              <w:pStyle w:val="Default"/>
              <w:rPr>
                <w:sz w:val="22"/>
                <w:szCs w:val="22"/>
              </w:rPr>
            </w:pPr>
            <w:r w:rsidRPr="00662A7D">
              <w:rPr>
                <w:sz w:val="22"/>
                <w:szCs w:val="22"/>
              </w:rPr>
              <w:t>Información sobre recursos propios computables</w:t>
            </w:r>
          </w:p>
        </w:tc>
        <w:tc>
          <w:tcPr>
            <w:tcW w:w="1417" w:type="dxa"/>
            <w:tcBorders>
              <w:top w:val="nil"/>
              <w:left w:val="nil"/>
              <w:bottom w:val="nil"/>
              <w:right w:val="nil"/>
            </w:tcBorders>
          </w:tcPr>
          <w:p w14:paraId="669D6306" w14:textId="7C6CB464" w:rsidR="00FF498E" w:rsidRPr="00662A7D" w:rsidRDefault="007E0A76" w:rsidP="00FF498E">
            <w:pPr>
              <w:pStyle w:val="Default"/>
              <w:jc w:val="center"/>
              <w:rPr>
                <w:sz w:val="22"/>
                <w:szCs w:val="22"/>
              </w:rPr>
            </w:pPr>
            <w:r>
              <w:rPr>
                <w:sz w:val="22"/>
                <w:szCs w:val="22"/>
              </w:rPr>
              <w:t>11</w:t>
            </w:r>
          </w:p>
        </w:tc>
      </w:tr>
      <w:tr w:rsidR="00FF498E" w14:paraId="66439CB2" w14:textId="77777777" w:rsidTr="00326A38">
        <w:tc>
          <w:tcPr>
            <w:tcW w:w="985" w:type="dxa"/>
            <w:tcBorders>
              <w:top w:val="nil"/>
              <w:left w:val="nil"/>
              <w:bottom w:val="nil"/>
              <w:right w:val="nil"/>
            </w:tcBorders>
          </w:tcPr>
          <w:p w14:paraId="1B35E0FB" w14:textId="09640567" w:rsidR="00FF498E" w:rsidRPr="00662A7D" w:rsidRDefault="00FF498E" w:rsidP="00B55D67">
            <w:pPr>
              <w:pStyle w:val="Default"/>
              <w:rPr>
                <w:sz w:val="22"/>
                <w:szCs w:val="22"/>
              </w:rPr>
            </w:pPr>
            <w:r w:rsidRPr="00662A7D">
              <w:rPr>
                <w:sz w:val="22"/>
                <w:szCs w:val="22"/>
              </w:rPr>
              <w:t>2.1.</w:t>
            </w:r>
          </w:p>
        </w:tc>
        <w:tc>
          <w:tcPr>
            <w:tcW w:w="7232" w:type="dxa"/>
            <w:tcBorders>
              <w:top w:val="nil"/>
              <w:left w:val="nil"/>
              <w:bottom w:val="nil"/>
              <w:right w:val="nil"/>
            </w:tcBorders>
          </w:tcPr>
          <w:p w14:paraId="7D04C111" w14:textId="5166D5CB" w:rsidR="00FF498E" w:rsidRPr="00662A7D" w:rsidRDefault="00FF498E" w:rsidP="00326A38">
            <w:pPr>
              <w:pStyle w:val="Default"/>
              <w:rPr>
                <w:sz w:val="22"/>
                <w:szCs w:val="22"/>
              </w:rPr>
            </w:pPr>
            <w:r w:rsidRPr="00662A7D">
              <w:rPr>
                <w:sz w:val="22"/>
                <w:szCs w:val="22"/>
              </w:rPr>
              <w:t>Elementos integrantes de los recursos propios</w:t>
            </w:r>
          </w:p>
        </w:tc>
        <w:tc>
          <w:tcPr>
            <w:tcW w:w="1417" w:type="dxa"/>
            <w:tcBorders>
              <w:top w:val="nil"/>
              <w:left w:val="nil"/>
              <w:bottom w:val="nil"/>
              <w:right w:val="nil"/>
            </w:tcBorders>
          </w:tcPr>
          <w:p w14:paraId="3A6F98BF" w14:textId="48BEA98F" w:rsidR="00FF498E" w:rsidRPr="00662A7D" w:rsidRDefault="007E0A76" w:rsidP="00FF498E">
            <w:pPr>
              <w:pStyle w:val="Default"/>
              <w:jc w:val="center"/>
              <w:rPr>
                <w:sz w:val="22"/>
                <w:szCs w:val="22"/>
              </w:rPr>
            </w:pPr>
            <w:r>
              <w:rPr>
                <w:sz w:val="22"/>
                <w:szCs w:val="22"/>
              </w:rPr>
              <w:t>11</w:t>
            </w:r>
          </w:p>
        </w:tc>
      </w:tr>
      <w:tr w:rsidR="00FF498E" w14:paraId="75FFD217" w14:textId="77777777" w:rsidTr="00326A38">
        <w:tc>
          <w:tcPr>
            <w:tcW w:w="985" w:type="dxa"/>
            <w:tcBorders>
              <w:top w:val="nil"/>
              <w:left w:val="nil"/>
              <w:bottom w:val="nil"/>
              <w:right w:val="nil"/>
            </w:tcBorders>
          </w:tcPr>
          <w:p w14:paraId="4ADF332D" w14:textId="6C2C7F67" w:rsidR="00FF498E" w:rsidRPr="00662A7D" w:rsidRDefault="00FF498E" w:rsidP="00B55D67">
            <w:pPr>
              <w:pStyle w:val="Default"/>
              <w:rPr>
                <w:sz w:val="22"/>
                <w:szCs w:val="22"/>
              </w:rPr>
            </w:pPr>
            <w:r w:rsidRPr="00662A7D">
              <w:rPr>
                <w:sz w:val="22"/>
                <w:szCs w:val="22"/>
              </w:rPr>
              <w:t>2.2.</w:t>
            </w:r>
          </w:p>
        </w:tc>
        <w:tc>
          <w:tcPr>
            <w:tcW w:w="7232" w:type="dxa"/>
            <w:tcBorders>
              <w:top w:val="nil"/>
              <w:left w:val="nil"/>
              <w:bottom w:val="nil"/>
              <w:right w:val="nil"/>
            </w:tcBorders>
          </w:tcPr>
          <w:p w14:paraId="6FBB2F5E" w14:textId="198BBAB8" w:rsidR="00FF498E" w:rsidRPr="00662A7D" w:rsidRDefault="002A0BA2" w:rsidP="00326A38">
            <w:pPr>
              <w:pStyle w:val="Default"/>
              <w:rPr>
                <w:sz w:val="22"/>
                <w:szCs w:val="22"/>
              </w:rPr>
            </w:pPr>
            <w:r w:rsidRPr="00662A7D">
              <w:rPr>
                <w:sz w:val="22"/>
                <w:szCs w:val="22"/>
              </w:rPr>
              <w:t xml:space="preserve">Importe total de los recursos propios </w:t>
            </w:r>
            <w:r w:rsidR="0055485A">
              <w:rPr>
                <w:sz w:val="22"/>
                <w:szCs w:val="22"/>
              </w:rPr>
              <w:t>Nivel 1</w:t>
            </w:r>
          </w:p>
        </w:tc>
        <w:tc>
          <w:tcPr>
            <w:tcW w:w="1417" w:type="dxa"/>
            <w:tcBorders>
              <w:top w:val="nil"/>
              <w:left w:val="nil"/>
              <w:bottom w:val="nil"/>
              <w:right w:val="nil"/>
            </w:tcBorders>
          </w:tcPr>
          <w:p w14:paraId="7B152A2C" w14:textId="3419E27C" w:rsidR="00FF498E" w:rsidRPr="00662A7D" w:rsidRDefault="007E0A76" w:rsidP="00FF498E">
            <w:pPr>
              <w:pStyle w:val="Default"/>
              <w:jc w:val="center"/>
              <w:rPr>
                <w:sz w:val="22"/>
                <w:szCs w:val="22"/>
              </w:rPr>
            </w:pPr>
            <w:r>
              <w:rPr>
                <w:sz w:val="22"/>
                <w:szCs w:val="22"/>
              </w:rPr>
              <w:t>11</w:t>
            </w:r>
          </w:p>
        </w:tc>
      </w:tr>
      <w:tr w:rsidR="0055485A" w14:paraId="6DF813D8" w14:textId="77777777" w:rsidTr="00326A38">
        <w:tc>
          <w:tcPr>
            <w:tcW w:w="985" w:type="dxa"/>
            <w:tcBorders>
              <w:top w:val="nil"/>
              <w:left w:val="nil"/>
              <w:bottom w:val="nil"/>
              <w:right w:val="nil"/>
            </w:tcBorders>
          </w:tcPr>
          <w:p w14:paraId="3FFEE06C" w14:textId="0B5ADC07" w:rsidR="0055485A" w:rsidRPr="00662A7D" w:rsidRDefault="0055485A" w:rsidP="00B55D67">
            <w:pPr>
              <w:pStyle w:val="Default"/>
              <w:rPr>
                <w:sz w:val="22"/>
                <w:szCs w:val="22"/>
              </w:rPr>
            </w:pPr>
            <w:r>
              <w:rPr>
                <w:sz w:val="22"/>
                <w:szCs w:val="22"/>
              </w:rPr>
              <w:t>2.3.</w:t>
            </w:r>
          </w:p>
        </w:tc>
        <w:tc>
          <w:tcPr>
            <w:tcW w:w="7232" w:type="dxa"/>
            <w:tcBorders>
              <w:top w:val="nil"/>
              <w:left w:val="nil"/>
              <w:bottom w:val="nil"/>
              <w:right w:val="nil"/>
            </w:tcBorders>
          </w:tcPr>
          <w:p w14:paraId="2FF45897" w14:textId="71103674" w:rsidR="0055485A" w:rsidRPr="00662A7D" w:rsidRDefault="0055485A" w:rsidP="00326A38">
            <w:pPr>
              <w:pStyle w:val="Default"/>
              <w:rPr>
                <w:sz w:val="22"/>
                <w:szCs w:val="22"/>
              </w:rPr>
            </w:pPr>
            <w:r w:rsidRPr="00662A7D">
              <w:rPr>
                <w:sz w:val="22"/>
                <w:szCs w:val="22"/>
              </w:rPr>
              <w:t xml:space="preserve">Importe total de los recursos propios </w:t>
            </w:r>
            <w:r>
              <w:rPr>
                <w:sz w:val="22"/>
                <w:szCs w:val="22"/>
              </w:rPr>
              <w:t>Nivel 2</w:t>
            </w:r>
          </w:p>
        </w:tc>
        <w:tc>
          <w:tcPr>
            <w:tcW w:w="1417" w:type="dxa"/>
            <w:tcBorders>
              <w:top w:val="nil"/>
              <w:left w:val="nil"/>
              <w:bottom w:val="nil"/>
              <w:right w:val="nil"/>
            </w:tcBorders>
          </w:tcPr>
          <w:p w14:paraId="4BF76C07" w14:textId="5B233A1F" w:rsidR="0055485A" w:rsidRDefault="007E0A76" w:rsidP="00FF498E">
            <w:pPr>
              <w:pStyle w:val="Default"/>
              <w:jc w:val="center"/>
              <w:rPr>
                <w:sz w:val="22"/>
                <w:szCs w:val="22"/>
              </w:rPr>
            </w:pPr>
            <w:r>
              <w:rPr>
                <w:sz w:val="22"/>
                <w:szCs w:val="22"/>
              </w:rPr>
              <w:t>11</w:t>
            </w:r>
          </w:p>
        </w:tc>
      </w:tr>
      <w:tr w:rsidR="0055485A" w14:paraId="7306325C" w14:textId="77777777" w:rsidTr="00326A38">
        <w:tc>
          <w:tcPr>
            <w:tcW w:w="985" w:type="dxa"/>
            <w:tcBorders>
              <w:top w:val="nil"/>
              <w:left w:val="nil"/>
              <w:bottom w:val="nil"/>
              <w:right w:val="nil"/>
            </w:tcBorders>
          </w:tcPr>
          <w:p w14:paraId="651A991E" w14:textId="443B3466" w:rsidR="0055485A" w:rsidRPr="00662A7D" w:rsidRDefault="0055485A" w:rsidP="00B55D67">
            <w:pPr>
              <w:pStyle w:val="Default"/>
              <w:rPr>
                <w:sz w:val="22"/>
                <w:szCs w:val="22"/>
              </w:rPr>
            </w:pPr>
            <w:r>
              <w:rPr>
                <w:sz w:val="22"/>
                <w:szCs w:val="22"/>
              </w:rPr>
              <w:t>2.4.</w:t>
            </w:r>
          </w:p>
        </w:tc>
        <w:tc>
          <w:tcPr>
            <w:tcW w:w="7232" w:type="dxa"/>
            <w:tcBorders>
              <w:top w:val="nil"/>
              <w:left w:val="nil"/>
              <w:bottom w:val="nil"/>
              <w:right w:val="nil"/>
            </w:tcBorders>
          </w:tcPr>
          <w:p w14:paraId="48710DE2" w14:textId="356D2FB3" w:rsidR="0055485A" w:rsidRPr="00662A7D" w:rsidRDefault="0055485A" w:rsidP="00326A38">
            <w:pPr>
              <w:pStyle w:val="Default"/>
              <w:rPr>
                <w:sz w:val="22"/>
                <w:szCs w:val="22"/>
              </w:rPr>
            </w:pPr>
            <w:r w:rsidRPr="00662A7D">
              <w:rPr>
                <w:sz w:val="22"/>
                <w:szCs w:val="22"/>
              </w:rPr>
              <w:t>Importe total de los recursos propios computables, netos de deducciones</w:t>
            </w:r>
          </w:p>
        </w:tc>
        <w:tc>
          <w:tcPr>
            <w:tcW w:w="1417" w:type="dxa"/>
            <w:tcBorders>
              <w:top w:val="nil"/>
              <w:left w:val="nil"/>
              <w:bottom w:val="nil"/>
              <w:right w:val="nil"/>
            </w:tcBorders>
          </w:tcPr>
          <w:p w14:paraId="342E65DA" w14:textId="1621BB7A" w:rsidR="0055485A" w:rsidRDefault="007E0A76" w:rsidP="00FF498E">
            <w:pPr>
              <w:pStyle w:val="Default"/>
              <w:jc w:val="center"/>
              <w:rPr>
                <w:sz w:val="22"/>
                <w:szCs w:val="22"/>
              </w:rPr>
            </w:pPr>
            <w:r>
              <w:rPr>
                <w:sz w:val="22"/>
                <w:szCs w:val="22"/>
              </w:rPr>
              <w:t>12</w:t>
            </w:r>
          </w:p>
        </w:tc>
      </w:tr>
      <w:tr w:rsidR="00FF498E" w14:paraId="1CBC87E7" w14:textId="77777777" w:rsidTr="00326A38">
        <w:tc>
          <w:tcPr>
            <w:tcW w:w="985" w:type="dxa"/>
            <w:tcBorders>
              <w:top w:val="nil"/>
              <w:left w:val="nil"/>
              <w:bottom w:val="nil"/>
              <w:right w:val="nil"/>
            </w:tcBorders>
          </w:tcPr>
          <w:p w14:paraId="12C8F8D6" w14:textId="4DA2EF07" w:rsidR="00FF498E" w:rsidRPr="00662A7D" w:rsidRDefault="00FF498E" w:rsidP="00B55D67">
            <w:pPr>
              <w:pStyle w:val="Default"/>
              <w:rPr>
                <w:sz w:val="22"/>
                <w:szCs w:val="22"/>
              </w:rPr>
            </w:pPr>
            <w:r w:rsidRPr="00662A7D">
              <w:rPr>
                <w:sz w:val="22"/>
                <w:szCs w:val="22"/>
              </w:rPr>
              <w:t>3</w:t>
            </w:r>
          </w:p>
        </w:tc>
        <w:tc>
          <w:tcPr>
            <w:tcW w:w="7232" w:type="dxa"/>
            <w:tcBorders>
              <w:top w:val="nil"/>
              <w:left w:val="nil"/>
              <w:bottom w:val="nil"/>
              <w:right w:val="nil"/>
            </w:tcBorders>
          </w:tcPr>
          <w:p w14:paraId="42FED653" w14:textId="2968D591" w:rsidR="00FF498E" w:rsidRPr="00662A7D" w:rsidRDefault="00FF498E" w:rsidP="00326A38">
            <w:pPr>
              <w:pStyle w:val="Default"/>
              <w:rPr>
                <w:sz w:val="22"/>
                <w:szCs w:val="22"/>
              </w:rPr>
            </w:pPr>
            <w:r w:rsidRPr="00662A7D">
              <w:rPr>
                <w:sz w:val="22"/>
                <w:szCs w:val="22"/>
              </w:rPr>
              <w:t>Requerimientos de recursos propios</w:t>
            </w:r>
          </w:p>
        </w:tc>
        <w:tc>
          <w:tcPr>
            <w:tcW w:w="1417" w:type="dxa"/>
            <w:tcBorders>
              <w:top w:val="nil"/>
              <w:left w:val="nil"/>
              <w:bottom w:val="nil"/>
              <w:right w:val="nil"/>
            </w:tcBorders>
          </w:tcPr>
          <w:p w14:paraId="45710AEA" w14:textId="5E10A50F" w:rsidR="00FF498E" w:rsidRPr="00662A7D" w:rsidRDefault="007615DF" w:rsidP="00FF498E">
            <w:pPr>
              <w:pStyle w:val="Default"/>
              <w:jc w:val="center"/>
              <w:rPr>
                <w:sz w:val="22"/>
                <w:szCs w:val="22"/>
              </w:rPr>
            </w:pPr>
            <w:r>
              <w:rPr>
                <w:sz w:val="22"/>
                <w:szCs w:val="22"/>
              </w:rPr>
              <w:t>1</w:t>
            </w:r>
            <w:r w:rsidR="007E0A76">
              <w:rPr>
                <w:sz w:val="22"/>
                <w:szCs w:val="22"/>
              </w:rPr>
              <w:t>2</w:t>
            </w:r>
          </w:p>
        </w:tc>
      </w:tr>
      <w:tr w:rsidR="00FF498E" w14:paraId="02B1DA0C" w14:textId="77777777" w:rsidTr="00326A38">
        <w:tc>
          <w:tcPr>
            <w:tcW w:w="985" w:type="dxa"/>
            <w:tcBorders>
              <w:top w:val="nil"/>
              <w:left w:val="nil"/>
              <w:bottom w:val="nil"/>
              <w:right w:val="nil"/>
            </w:tcBorders>
          </w:tcPr>
          <w:p w14:paraId="46CA1A58" w14:textId="18D06383" w:rsidR="00FF498E" w:rsidRPr="00662A7D" w:rsidRDefault="00FF498E" w:rsidP="00B55D67">
            <w:pPr>
              <w:pStyle w:val="Default"/>
              <w:rPr>
                <w:sz w:val="22"/>
                <w:szCs w:val="22"/>
              </w:rPr>
            </w:pPr>
            <w:r w:rsidRPr="00662A7D">
              <w:rPr>
                <w:sz w:val="22"/>
                <w:szCs w:val="22"/>
              </w:rPr>
              <w:t>3.1.</w:t>
            </w:r>
          </w:p>
        </w:tc>
        <w:tc>
          <w:tcPr>
            <w:tcW w:w="7232" w:type="dxa"/>
            <w:tcBorders>
              <w:top w:val="nil"/>
              <w:left w:val="nil"/>
              <w:bottom w:val="nil"/>
              <w:right w:val="nil"/>
            </w:tcBorders>
          </w:tcPr>
          <w:p w14:paraId="52617F7A" w14:textId="5F3140F7" w:rsidR="00FF498E" w:rsidRPr="00662A7D" w:rsidRDefault="00FF498E" w:rsidP="00326A38">
            <w:pPr>
              <w:pStyle w:val="Default"/>
              <w:rPr>
                <w:sz w:val="22"/>
                <w:szCs w:val="22"/>
              </w:rPr>
            </w:pPr>
            <w:r w:rsidRPr="00662A7D">
              <w:rPr>
                <w:sz w:val="22"/>
                <w:szCs w:val="22"/>
              </w:rPr>
              <w:t>Importe de los requerimientos de recursos propios mínimos por riesgo de crédito</w:t>
            </w:r>
          </w:p>
        </w:tc>
        <w:tc>
          <w:tcPr>
            <w:tcW w:w="1417" w:type="dxa"/>
            <w:tcBorders>
              <w:top w:val="nil"/>
              <w:left w:val="nil"/>
              <w:bottom w:val="nil"/>
              <w:right w:val="nil"/>
            </w:tcBorders>
          </w:tcPr>
          <w:p w14:paraId="01645F8A" w14:textId="71D574E2" w:rsidR="00FF498E" w:rsidRPr="00662A7D" w:rsidRDefault="007615DF" w:rsidP="00FF498E">
            <w:pPr>
              <w:pStyle w:val="Default"/>
              <w:jc w:val="center"/>
              <w:rPr>
                <w:sz w:val="22"/>
                <w:szCs w:val="22"/>
              </w:rPr>
            </w:pPr>
            <w:r>
              <w:rPr>
                <w:sz w:val="22"/>
                <w:szCs w:val="22"/>
              </w:rPr>
              <w:t>1</w:t>
            </w:r>
            <w:r w:rsidR="007E0A76">
              <w:rPr>
                <w:sz w:val="22"/>
                <w:szCs w:val="22"/>
              </w:rPr>
              <w:t>2</w:t>
            </w:r>
          </w:p>
        </w:tc>
      </w:tr>
      <w:tr w:rsidR="00FF498E" w14:paraId="023D695E" w14:textId="77777777" w:rsidTr="00326A38">
        <w:tc>
          <w:tcPr>
            <w:tcW w:w="985" w:type="dxa"/>
            <w:tcBorders>
              <w:top w:val="nil"/>
              <w:left w:val="nil"/>
              <w:bottom w:val="nil"/>
              <w:right w:val="nil"/>
            </w:tcBorders>
          </w:tcPr>
          <w:p w14:paraId="3ECCCC15" w14:textId="5109C72B" w:rsidR="00FF498E" w:rsidRPr="00662A7D" w:rsidRDefault="00FF498E" w:rsidP="00B55D67">
            <w:pPr>
              <w:pStyle w:val="Default"/>
              <w:rPr>
                <w:sz w:val="22"/>
                <w:szCs w:val="22"/>
              </w:rPr>
            </w:pPr>
            <w:r w:rsidRPr="00662A7D">
              <w:rPr>
                <w:sz w:val="22"/>
                <w:szCs w:val="22"/>
              </w:rPr>
              <w:t>3.2.</w:t>
            </w:r>
          </w:p>
        </w:tc>
        <w:tc>
          <w:tcPr>
            <w:tcW w:w="7232" w:type="dxa"/>
            <w:tcBorders>
              <w:top w:val="nil"/>
              <w:left w:val="nil"/>
              <w:bottom w:val="nil"/>
              <w:right w:val="nil"/>
            </w:tcBorders>
          </w:tcPr>
          <w:p w14:paraId="51BE060A" w14:textId="7B17C2E2" w:rsidR="00FF498E" w:rsidRPr="00662A7D" w:rsidRDefault="00FF498E" w:rsidP="00326A38">
            <w:pPr>
              <w:pStyle w:val="Default"/>
              <w:rPr>
                <w:sz w:val="22"/>
                <w:szCs w:val="22"/>
              </w:rPr>
            </w:pPr>
            <w:r w:rsidRPr="00662A7D">
              <w:rPr>
                <w:sz w:val="22"/>
                <w:szCs w:val="22"/>
              </w:rPr>
              <w:t>Importe de los requerimientos de recursos propios mínimos por riesgo de contraparte y de posición</w:t>
            </w:r>
          </w:p>
        </w:tc>
        <w:tc>
          <w:tcPr>
            <w:tcW w:w="1417" w:type="dxa"/>
            <w:tcBorders>
              <w:top w:val="nil"/>
              <w:left w:val="nil"/>
              <w:bottom w:val="nil"/>
              <w:right w:val="nil"/>
            </w:tcBorders>
          </w:tcPr>
          <w:p w14:paraId="01FA8142" w14:textId="6FE84331" w:rsidR="00FF498E" w:rsidRPr="00662A7D" w:rsidRDefault="007615DF" w:rsidP="00FF498E">
            <w:pPr>
              <w:pStyle w:val="Default"/>
              <w:jc w:val="center"/>
              <w:rPr>
                <w:sz w:val="22"/>
                <w:szCs w:val="22"/>
              </w:rPr>
            </w:pPr>
            <w:r>
              <w:rPr>
                <w:sz w:val="22"/>
                <w:szCs w:val="22"/>
              </w:rPr>
              <w:t>1</w:t>
            </w:r>
            <w:r w:rsidR="007E0A76">
              <w:rPr>
                <w:sz w:val="22"/>
                <w:szCs w:val="22"/>
              </w:rPr>
              <w:t>2</w:t>
            </w:r>
          </w:p>
        </w:tc>
      </w:tr>
      <w:tr w:rsidR="00FF498E" w14:paraId="396B4E94" w14:textId="77777777" w:rsidTr="00326A38">
        <w:tc>
          <w:tcPr>
            <w:tcW w:w="985" w:type="dxa"/>
            <w:tcBorders>
              <w:top w:val="nil"/>
              <w:left w:val="nil"/>
              <w:bottom w:val="nil"/>
              <w:right w:val="nil"/>
            </w:tcBorders>
          </w:tcPr>
          <w:p w14:paraId="08FFEAF5" w14:textId="5D6055BE" w:rsidR="00FF498E" w:rsidRPr="00662A7D" w:rsidRDefault="00FF498E" w:rsidP="00B55D67">
            <w:pPr>
              <w:pStyle w:val="Default"/>
              <w:rPr>
                <w:sz w:val="22"/>
                <w:szCs w:val="22"/>
              </w:rPr>
            </w:pPr>
            <w:r w:rsidRPr="00662A7D">
              <w:rPr>
                <w:sz w:val="22"/>
                <w:szCs w:val="22"/>
              </w:rPr>
              <w:t>3.3.</w:t>
            </w:r>
          </w:p>
        </w:tc>
        <w:tc>
          <w:tcPr>
            <w:tcW w:w="7232" w:type="dxa"/>
            <w:tcBorders>
              <w:top w:val="nil"/>
              <w:left w:val="nil"/>
              <w:bottom w:val="nil"/>
              <w:right w:val="nil"/>
            </w:tcBorders>
          </w:tcPr>
          <w:p w14:paraId="5CE57F21" w14:textId="4693D5AF" w:rsidR="00FF498E" w:rsidRPr="00662A7D" w:rsidRDefault="00FF498E" w:rsidP="00326A38">
            <w:pPr>
              <w:pStyle w:val="Default"/>
              <w:rPr>
                <w:sz w:val="22"/>
                <w:szCs w:val="22"/>
              </w:rPr>
            </w:pPr>
            <w:r w:rsidRPr="00662A7D">
              <w:rPr>
                <w:sz w:val="22"/>
                <w:szCs w:val="22"/>
              </w:rPr>
              <w:t>Importe de los requerimientos de recursos propios mínimos por riesgo de cambio</w:t>
            </w:r>
          </w:p>
        </w:tc>
        <w:tc>
          <w:tcPr>
            <w:tcW w:w="1417" w:type="dxa"/>
            <w:tcBorders>
              <w:top w:val="nil"/>
              <w:left w:val="nil"/>
              <w:bottom w:val="nil"/>
              <w:right w:val="nil"/>
            </w:tcBorders>
          </w:tcPr>
          <w:p w14:paraId="6B4B0E2A" w14:textId="47AB49D6" w:rsidR="00FF498E" w:rsidRPr="00662A7D" w:rsidRDefault="007615DF" w:rsidP="00FF498E">
            <w:pPr>
              <w:pStyle w:val="Default"/>
              <w:jc w:val="center"/>
              <w:rPr>
                <w:sz w:val="22"/>
                <w:szCs w:val="22"/>
              </w:rPr>
            </w:pPr>
            <w:r>
              <w:rPr>
                <w:sz w:val="22"/>
                <w:szCs w:val="22"/>
              </w:rPr>
              <w:t>1</w:t>
            </w:r>
            <w:r w:rsidR="007E0A76">
              <w:rPr>
                <w:sz w:val="22"/>
                <w:szCs w:val="22"/>
              </w:rPr>
              <w:t>2</w:t>
            </w:r>
          </w:p>
        </w:tc>
      </w:tr>
      <w:tr w:rsidR="00FF498E" w14:paraId="2BEDA940" w14:textId="77777777" w:rsidTr="00326A38">
        <w:tc>
          <w:tcPr>
            <w:tcW w:w="985" w:type="dxa"/>
            <w:tcBorders>
              <w:top w:val="nil"/>
              <w:left w:val="nil"/>
              <w:bottom w:val="nil"/>
              <w:right w:val="nil"/>
            </w:tcBorders>
          </w:tcPr>
          <w:p w14:paraId="64B25E34" w14:textId="15C013ED" w:rsidR="00FF498E" w:rsidRPr="00662A7D" w:rsidRDefault="00FF498E" w:rsidP="00B55D67">
            <w:pPr>
              <w:pStyle w:val="Default"/>
              <w:rPr>
                <w:sz w:val="22"/>
                <w:szCs w:val="22"/>
              </w:rPr>
            </w:pPr>
            <w:r w:rsidRPr="00662A7D">
              <w:rPr>
                <w:sz w:val="22"/>
                <w:szCs w:val="22"/>
              </w:rPr>
              <w:t>3.4.</w:t>
            </w:r>
          </w:p>
        </w:tc>
        <w:tc>
          <w:tcPr>
            <w:tcW w:w="7232" w:type="dxa"/>
            <w:tcBorders>
              <w:top w:val="nil"/>
              <w:left w:val="nil"/>
              <w:bottom w:val="nil"/>
              <w:right w:val="nil"/>
            </w:tcBorders>
          </w:tcPr>
          <w:p w14:paraId="29D4D3F3" w14:textId="225DD5E4" w:rsidR="00FF498E" w:rsidRPr="00662A7D" w:rsidRDefault="00FF498E" w:rsidP="00326A38">
            <w:pPr>
              <w:pStyle w:val="Default"/>
              <w:rPr>
                <w:sz w:val="22"/>
                <w:szCs w:val="22"/>
              </w:rPr>
            </w:pPr>
            <w:r w:rsidRPr="00662A7D">
              <w:rPr>
                <w:sz w:val="22"/>
                <w:szCs w:val="22"/>
              </w:rPr>
              <w:t>Importe de los requerimientos de recursos propios mínimos por riesgo operacional</w:t>
            </w:r>
          </w:p>
        </w:tc>
        <w:tc>
          <w:tcPr>
            <w:tcW w:w="1417" w:type="dxa"/>
            <w:tcBorders>
              <w:top w:val="nil"/>
              <w:left w:val="nil"/>
              <w:bottom w:val="nil"/>
              <w:right w:val="nil"/>
            </w:tcBorders>
          </w:tcPr>
          <w:p w14:paraId="64D3C9B2" w14:textId="55A10258" w:rsidR="00FF498E" w:rsidRPr="00662A7D" w:rsidRDefault="007615DF" w:rsidP="00FF498E">
            <w:pPr>
              <w:pStyle w:val="Default"/>
              <w:jc w:val="center"/>
              <w:rPr>
                <w:sz w:val="22"/>
                <w:szCs w:val="22"/>
              </w:rPr>
            </w:pPr>
            <w:r>
              <w:rPr>
                <w:sz w:val="22"/>
                <w:szCs w:val="22"/>
              </w:rPr>
              <w:t>1</w:t>
            </w:r>
            <w:r w:rsidR="007E0A76">
              <w:rPr>
                <w:sz w:val="22"/>
                <w:szCs w:val="22"/>
              </w:rPr>
              <w:t>2</w:t>
            </w:r>
          </w:p>
        </w:tc>
      </w:tr>
      <w:tr w:rsidR="00FF498E" w14:paraId="20721782" w14:textId="77777777" w:rsidTr="00326A38">
        <w:tc>
          <w:tcPr>
            <w:tcW w:w="985" w:type="dxa"/>
            <w:tcBorders>
              <w:top w:val="nil"/>
              <w:left w:val="nil"/>
              <w:bottom w:val="nil"/>
              <w:right w:val="nil"/>
            </w:tcBorders>
          </w:tcPr>
          <w:p w14:paraId="5782D231" w14:textId="40DF48CF" w:rsidR="00FF498E" w:rsidRPr="00662A7D" w:rsidRDefault="00FF498E" w:rsidP="00B55D67">
            <w:pPr>
              <w:pStyle w:val="Default"/>
              <w:rPr>
                <w:sz w:val="22"/>
                <w:szCs w:val="22"/>
              </w:rPr>
            </w:pPr>
            <w:r w:rsidRPr="00662A7D">
              <w:rPr>
                <w:sz w:val="22"/>
                <w:szCs w:val="22"/>
              </w:rPr>
              <w:t>4.</w:t>
            </w:r>
          </w:p>
        </w:tc>
        <w:tc>
          <w:tcPr>
            <w:tcW w:w="7232" w:type="dxa"/>
            <w:tcBorders>
              <w:top w:val="nil"/>
              <w:left w:val="nil"/>
              <w:bottom w:val="nil"/>
              <w:right w:val="nil"/>
            </w:tcBorders>
          </w:tcPr>
          <w:p w14:paraId="50C688C0" w14:textId="2E7BB83A" w:rsidR="00FF498E" w:rsidRPr="00662A7D" w:rsidRDefault="00FF498E" w:rsidP="00326A38">
            <w:pPr>
              <w:pStyle w:val="Default"/>
              <w:rPr>
                <w:sz w:val="22"/>
                <w:szCs w:val="22"/>
              </w:rPr>
            </w:pPr>
            <w:r w:rsidRPr="00662A7D">
              <w:rPr>
                <w:sz w:val="22"/>
                <w:szCs w:val="22"/>
              </w:rPr>
              <w:t>Información sobre riesgo de crédito</w:t>
            </w:r>
          </w:p>
        </w:tc>
        <w:tc>
          <w:tcPr>
            <w:tcW w:w="1417" w:type="dxa"/>
            <w:tcBorders>
              <w:top w:val="nil"/>
              <w:left w:val="nil"/>
              <w:bottom w:val="nil"/>
              <w:right w:val="nil"/>
            </w:tcBorders>
          </w:tcPr>
          <w:p w14:paraId="6B791D9E" w14:textId="6B3472D7" w:rsidR="00FF498E" w:rsidRPr="00662A7D" w:rsidRDefault="00B266FB" w:rsidP="00FF498E">
            <w:pPr>
              <w:pStyle w:val="Default"/>
              <w:jc w:val="center"/>
              <w:rPr>
                <w:sz w:val="22"/>
                <w:szCs w:val="22"/>
              </w:rPr>
            </w:pPr>
            <w:r>
              <w:rPr>
                <w:sz w:val="22"/>
                <w:szCs w:val="22"/>
              </w:rPr>
              <w:t>1</w:t>
            </w:r>
            <w:r w:rsidR="007E0A76">
              <w:rPr>
                <w:sz w:val="22"/>
                <w:szCs w:val="22"/>
              </w:rPr>
              <w:t>3</w:t>
            </w:r>
          </w:p>
        </w:tc>
      </w:tr>
      <w:tr w:rsidR="00FF498E" w14:paraId="630DB64A" w14:textId="77777777" w:rsidTr="00326A38">
        <w:tc>
          <w:tcPr>
            <w:tcW w:w="985" w:type="dxa"/>
            <w:tcBorders>
              <w:top w:val="nil"/>
              <w:left w:val="nil"/>
              <w:bottom w:val="nil"/>
              <w:right w:val="nil"/>
            </w:tcBorders>
          </w:tcPr>
          <w:p w14:paraId="53FC9949" w14:textId="199133DF" w:rsidR="00FF498E" w:rsidRPr="00662A7D" w:rsidRDefault="00FF498E" w:rsidP="00B55D67">
            <w:pPr>
              <w:pStyle w:val="Default"/>
              <w:rPr>
                <w:sz w:val="22"/>
                <w:szCs w:val="22"/>
              </w:rPr>
            </w:pPr>
            <w:r w:rsidRPr="00662A7D">
              <w:rPr>
                <w:sz w:val="22"/>
                <w:szCs w:val="22"/>
              </w:rPr>
              <w:t>4.1.</w:t>
            </w:r>
          </w:p>
        </w:tc>
        <w:tc>
          <w:tcPr>
            <w:tcW w:w="7232" w:type="dxa"/>
            <w:tcBorders>
              <w:top w:val="nil"/>
              <w:left w:val="nil"/>
              <w:bottom w:val="nil"/>
              <w:right w:val="nil"/>
            </w:tcBorders>
          </w:tcPr>
          <w:p w14:paraId="1C91752A" w14:textId="513F8027" w:rsidR="00FF498E" w:rsidRPr="00662A7D" w:rsidRDefault="00FF498E" w:rsidP="00326A38">
            <w:pPr>
              <w:pStyle w:val="Default"/>
              <w:rPr>
                <w:sz w:val="22"/>
                <w:szCs w:val="22"/>
              </w:rPr>
            </w:pPr>
            <w:r w:rsidRPr="00662A7D">
              <w:rPr>
                <w:sz w:val="22"/>
                <w:szCs w:val="22"/>
              </w:rPr>
              <w:t>Riesgo de crédito</w:t>
            </w:r>
          </w:p>
        </w:tc>
        <w:tc>
          <w:tcPr>
            <w:tcW w:w="1417" w:type="dxa"/>
            <w:tcBorders>
              <w:top w:val="nil"/>
              <w:left w:val="nil"/>
              <w:bottom w:val="nil"/>
              <w:right w:val="nil"/>
            </w:tcBorders>
          </w:tcPr>
          <w:p w14:paraId="13489877" w14:textId="2084412C" w:rsidR="00FF498E" w:rsidRPr="00662A7D" w:rsidRDefault="00B266FB" w:rsidP="00FF498E">
            <w:pPr>
              <w:pStyle w:val="Default"/>
              <w:jc w:val="center"/>
              <w:rPr>
                <w:sz w:val="22"/>
                <w:szCs w:val="22"/>
              </w:rPr>
            </w:pPr>
            <w:r>
              <w:rPr>
                <w:sz w:val="22"/>
                <w:szCs w:val="22"/>
              </w:rPr>
              <w:t>1</w:t>
            </w:r>
            <w:r w:rsidR="007E0A76">
              <w:rPr>
                <w:sz w:val="22"/>
                <w:szCs w:val="22"/>
              </w:rPr>
              <w:t>3</w:t>
            </w:r>
          </w:p>
        </w:tc>
      </w:tr>
      <w:tr w:rsidR="00FF498E" w14:paraId="56E2852D" w14:textId="77777777" w:rsidTr="00326A38">
        <w:tc>
          <w:tcPr>
            <w:tcW w:w="985" w:type="dxa"/>
            <w:tcBorders>
              <w:top w:val="nil"/>
              <w:left w:val="nil"/>
              <w:bottom w:val="nil"/>
              <w:right w:val="nil"/>
            </w:tcBorders>
          </w:tcPr>
          <w:p w14:paraId="20172368" w14:textId="25AD7B94" w:rsidR="00FF498E" w:rsidRPr="00662A7D" w:rsidRDefault="00FF498E" w:rsidP="00B55D67">
            <w:pPr>
              <w:pStyle w:val="Default"/>
              <w:rPr>
                <w:sz w:val="22"/>
                <w:szCs w:val="22"/>
              </w:rPr>
            </w:pPr>
            <w:r w:rsidRPr="00662A7D">
              <w:rPr>
                <w:sz w:val="22"/>
                <w:szCs w:val="22"/>
              </w:rPr>
              <w:t>4.2.</w:t>
            </w:r>
          </w:p>
        </w:tc>
        <w:tc>
          <w:tcPr>
            <w:tcW w:w="7232" w:type="dxa"/>
            <w:tcBorders>
              <w:top w:val="nil"/>
              <w:left w:val="nil"/>
              <w:bottom w:val="nil"/>
              <w:right w:val="nil"/>
            </w:tcBorders>
          </w:tcPr>
          <w:p w14:paraId="32B5FD30" w14:textId="7582ADCE" w:rsidR="00FF498E" w:rsidRPr="00662A7D" w:rsidRDefault="00FF498E" w:rsidP="00326A38">
            <w:pPr>
              <w:pStyle w:val="Default"/>
              <w:rPr>
                <w:sz w:val="22"/>
                <w:szCs w:val="22"/>
              </w:rPr>
            </w:pPr>
            <w:r w:rsidRPr="00662A7D">
              <w:rPr>
                <w:sz w:val="22"/>
                <w:szCs w:val="22"/>
              </w:rPr>
              <w:t>Valor total de exposiciones después de ajustes y de correcciones de valor</w:t>
            </w:r>
          </w:p>
        </w:tc>
        <w:tc>
          <w:tcPr>
            <w:tcW w:w="1417" w:type="dxa"/>
            <w:tcBorders>
              <w:top w:val="nil"/>
              <w:left w:val="nil"/>
              <w:bottom w:val="nil"/>
              <w:right w:val="nil"/>
            </w:tcBorders>
          </w:tcPr>
          <w:p w14:paraId="0ABEDAF4" w14:textId="7DBFB2DE" w:rsidR="00FF498E" w:rsidRPr="00662A7D" w:rsidRDefault="00B266FB" w:rsidP="00FF498E">
            <w:pPr>
              <w:pStyle w:val="Default"/>
              <w:jc w:val="center"/>
              <w:rPr>
                <w:sz w:val="22"/>
                <w:szCs w:val="22"/>
              </w:rPr>
            </w:pPr>
            <w:r>
              <w:rPr>
                <w:sz w:val="22"/>
                <w:szCs w:val="22"/>
              </w:rPr>
              <w:t>1</w:t>
            </w:r>
            <w:r w:rsidR="007E0A76">
              <w:rPr>
                <w:sz w:val="22"/>
                <w:szCs w:val="22"/>
              </w:rPr>
              <w:t>3</w:t>
            </w:r>
          </w:p>
        </w:tc>
      </w:tr>
      <w:tr w:rsidR="00FF498E" w14:paraId="03C5E85D" w14:textId="77777777" w:rsidTr="00326A38">
        <w:tc>
          <w:tcPr>
            <w:tcW w:w="985" w:type="dxa"/>
            <w:tcBorders>
              <w:top w:val="nil"/>
              <w:left w:val="nil"/>
              <w:bottom w:val="nil"/>
              <w:right w:val="nil"/>
            </w:tcBorders>
          </w:tcPr>
          <w:p w14:paraId="4B1BF493" w14:textId="15636B8F" w:rsidR="00FF498E" w:rsidRPr="00662A7D" w:rsidRDefault="00FF498E" w:rsidP="00B55D67">
            <w:pPr>
              <w:pStyle w:val="Default"/>
              <w:rPr>
                <w:sz w:val="22"/>
                <w:szCs w:val="22"/>
              </w:rPr>
            </w:pPr>
            <w:r w:rsidRPr="00662A7D">
              <w:rPr>
                <w:sz w:val="22"/>
                <w:szCs w:val="22"/>
              </w:rPr>
              <w:t>4.3.</w:t>
            </w:r>
          </w:p>
        </w:tc>
        <w:tc>
          <w:tcPr>
            <w:tcW w:w="7232" w:type="dxa"/>
            <w:tcBorders>
              <w:top w:val="nil"/>
              <w:left w:val="nil"/>
              <w:bottom w:val="nil"/>
              <w:right w:val="nil"/>
            </w:tcBorders>
          </w:tcPr>
          <w:p w14:paraId="0A829475" w14:textId="03D6C586" w:rsidR="00FF498E" w:rsidRPr="00662A7D" w:rsidRDefault="00FF498E" w:rsidP="00326A38">
            <w:pPr>
              <w:pStyle w:val="Default"/>
              <w:rPr>
                <w:sz w:val="22"/>
                <w:szCs w:val="22"/>
              </w:rPr>
            </w:pPr>
            <w:r w:rsidRPr="00662A7D">
              <w:rPr>
                <w:sz w:val="22"/>
                <w:szCs w:val="22"/>
              </w:rPr>
              <w:t>Valor medio de exposiciones, dividido por categorías de exposición</w:t>
            </w:r>
          </w:p>
        </w:tc>
        <w:tc>
          <w:tcPr>
            <w:tcW w:w="1417" w:type="dxa"/>
            <w:tcBorders>
              <w:top w:val="nil"/>
              <w:left w:val="nil"/>
              <w:bottom w:val="nil"/>
              <w:right w:val="nil"/>
            </w:tcBorders>
          </w:tcPr>
          <w:p w14:paraId="4E85F2F1" w14:textId="6599FA0D" w:rsidR="00FF498E" w:rsidRPr="00662A7D" w:rsidRDefault="00B266FB" w:rsidP="00FF498E">
            <w:pPr>
              <w:pStyle w:val="Default"/>
              <w:jc w:val="center"/>
              <w:rPr>
                <w:sz w:val="22"/>
                <w:szCs w:val="22"/>
              </w:rPr>
            </w:pPr>
            <w:r>
              <w:rPr>
                <w:sz w:val="22"/>
                <w:szCs w:val="22"/>
              </w:rPr>
              <w:t>1</w:t>
            </w:r>
            <w:r w:rsidR="007E0A76">
              <w:rPr>
                <w:sz w:val="22"/>
                <w:szCs w:val="22"/>
              </w:rPr>
              <w:t>3</w:t>
            </w:r>
          </w:p>
        </w:tc>
      </w:tr>
      <w:tr w:rsidR="00FF498E" w14:paraId="797ECAA7" w14:textId="77777777" w:rsidTr="00326A38">
        <w:tc>
          <w:tcPr>
            <w:tcW w:w="985" w:type="dxa"/>
            <w:tcBorders>
              <w:top w:val="nil"/>
              <w:left w:val="nil"/>
              <w:bottom w:val="nil"/>
              <w:right w:val="nil"/>
            </w:tcBorders>
          </w:tcPr>
          <w:p w14:paraId="5A6FDEF9" w14:textId="7BD840DA" w:rsidR="00FF498E" w:rsidRPr="00662A7D" w:rsidRDefault="00FF498E" w:rsidP="00B55D67">
            <w:pPr>
              <w:pStyle w:val="Default"/>
              <w:rPr>
                <w:sz w:val="22"/>
                <w:szCs w:val="22"/>
              </w:rPr>
            </w:pPr>
            <w:r w:rsidRPr="00662A7D">
              <w:rPr>
                <w:sz w:val="22"/>
                <w:szCs w:val="22"/>
              </w:rPr>
              <w:t>4.4.</w:t>
            </w:r>
          </w:p>
        </w:tc>
        <w:tc>
          <w:tcPr>
            <w:tcW w:w="7232" w:type="dxa"/>
            <w:tcBorders>
              <w:top w:val="nil"/>
              <w:left w:val="nil"/>
              <w:bottom w:val="nil"/>
              <w:right w:val="nil"/>
            </w:tcBorders>
          </w:tcPr>
          <w:p w14:paraId="10C9D039" w14:textId="40869A3F" w:rsidR="00FF498E" w:rsidRPr="00662A7D" w:rsidRDefault="00FF498E" w:rsidP="00326A38">
            <w:pPr>
              <w:pStyle w:val="Default"/>
              <w:rPr>
                <w:sz w:val="22"/>
                <w:szCs w:val="22"/>
              </w:rPr>
            </w:pPr>
            <w:r w:rsidRPr="00662A7D">
              <w:rPr>
                <w:sz w:val="22"/>
                <w:szCs w:val="22"/>
              </w:rPr>
              <w:t>Deterioro del valor de los activos financieros</w:t>
            </w:r>
          </w:p>
        </w:tc>
        <w:tc>
          <w:tcPr>
            <w:tcW w:w="1417" w:type="dxa"/>
            <w:tcBorders>
              <w:top w:val="nil"/>
              <w:left w:val="nil"/>
              <w:bottom w:val="nil"/>
              <w:right w:val="nil"/>
            </w:tcBorders>
          </w:tcPr>
          <w:p w14:paraId="2945E56A" w14:textId="1E58486C" w:rsidR="00FF498E" w:rsidRPr="00662A7D" w:rsidRDefault="00212DA1" w:rsidP="00FF498E">
            <w:pPr>
              <w:pStyle w:val="Default"/>
              <w:jc w:val="center"/>
              <w:rPr>
                <w:sz w:val="22"/>
                <w:szCs w:val="22"/>
              </w:rPr>
            </w:pPr>
            <w:r>
              <w:rPr>
                <w:sz w:val="22"/>
                <w:szCs w:val="22"/>
              </w:rPr>
              <w:t>1</w:t>
            </w:r>
            <w:r w:rsidR="007E0A76">
              <w:rPr>
                <w:sz w:val="22"/>
                <w:szCs w:val="22"/>
              </w:rPr>
              <w:t>4</w:t>
            </w:r>
          </w:p>
        </w:tc>
      </w:tr>
      <w:tr w:rsidR="00FF498E" w14:paraId="4D827027" w14:textId="77777777" w:rsidTr="00326A38">
        <w:tc>
          <w:tcPr>
            <w:tcW w:w="985" w:type="dxa"/>
            <w:tcBorders>
              <w:top w:val="nil"/>
              <w:left w:val="nil"/>
              <w:bottom w:val="nil"/>
              <w:right w:val="nil"/>
            </w:tcBorders>
          </w:tcPr>
          <w:p w14:paraId="497C1CD6" w14:textId="01499CBC" w:rsidR="00FF498E" w:rsidRPr="00662A7D" w:rsidRDefault="00FF498E" w:rsidP="00B55D67">
            <w:pPr>
              <w:pStyle w:val="Default"/>
              <w:rPr>
                <w:sz w:val="22"/>
                <w:szCs w:val="22"/>
              </w:rPr>
            </w:pPr>
            <w:r w:rsidRPr="00662A7D">
              <w:rPr>
                <w:sz w:val="22"/>
                <w:szCs w:val="22"/>
              </w:rPr>
              <w:t>4.5.</w:t>
            </w:r>
          </w:p>
        </w:tc>
        <w:tc>
          <w:tcPr>
            <w:tcW w:w="7232" w:type="dxa"/>
            <w:tcBorders>
              <w:top w:val="nil"/>
              <w:left w:val="nil"/>
              <w:bottom w:val="nil"/>
              <w:right w:val="nil"/>
            </w:tcBorders>
          </w:tcPr>
          <w:p w14:paraId="396B0C6B" w14:textId="50FEF5DE" w:rsidR="00FF498E" w:rsidRPr="00662A7D" w:rsidRDefault="00FF498E" w:rsidP="00326A38">
            <w:pPr>
              <w:pStyle w:val="Default"/>
              <w:rPr>
                <w:sz w:val="22"/>
                <w:szCs w:val="22"/>
              </w:rPr>
            </w:pPr>
            <w:r w:rsidRPr="00662A7D">
              <w:rPr>
                <w:sz w:val="22"/>
                <w:szCs w:val="22"/>
              </w:rPr>
              <w:t>Métodos utilizados para la determinación de correcciones de valor por deterioro de activos, provisiones por riesgos y activos contingentes</w:t>
            </w:r>
          </w:p>
        </w:tc>
        <w:tc>
          <w:tcPr>
            <w:tcW w:w="1417" w:type="dxa"/>
            <w:tcBorders>
              <w:top w:val="nil"/>
              <w:left w:val="nil"/>
              <w:bottom w:val="nil"/>
              <w:right w:val="nil"/>
            </w:tcBorders>
          </w:tcPr>
          <w:p w14:paraId="5AC83412" w14:textId="69C858EC" w:rsidR="00FF498E" w:rsidRPr="00662A7D" w:rsidRDefault="00212DA1" w:rsidP="00FF498E">
            <w:pPr>
              <w:pStyle w:val="Default"/>
              <w:jc w:val="center"/>
              <w:rPr>
                <w:sz w:val="22"/>
                <w:szCs w:val="22"/>
              </w:rPr>
            </w:pPr>
            <w:r>
              <w:rPr>
                <w:sz w:val="22"/>
                <w:szCs w:val="22"/>
              </w:rPr>
              <w:t>1</w:t>
            </w:r>
            <w:r w:rsidR="007E0A76">
              <w:rPr>
                <w:sz w:val="22"/>
                <w:szCs w:val="22"/>
              </w:rPr>
              <w:t>5</w:t>
            </w:r>
          </w:p>
        </w:tc>
      </w:tr>
      <w:tr w:rsidR="00FF498E" w14:paraId="23C68EDC" w14:textId="77777777" w:rsidTr="00326A38">
        <w:tc>
          <w:tcPr>
            <w:tcW w:w="985" w:type="dxa"/>
            <w:tcBorders>
              <w:top w:val="nil"/>
              <w:left w:val="nil"/>
              <w:bottom w:val="nil"/>
              <w:right w:val="nil"/>
            </w:tcBorders>
          </w:tcPr>
          <w:p w14:paraId="20156B4D" w14:textId="3D62A381" w:rsidR="00FF498E" w:rsidRPr="00662A7D" w:rsidRDefault="00FF498E" w:rsidP="00B55D67">
            <w:pPr>
              <w:pStyle w:val="Default"/>
              <w:rPr>
                <w:sz w:val="22"/>
                <w:szCs w:val="22"/>
              </w:rPr>
            </w:pPr>
            <w:r w:rsidRPr="00662A7D">
              <w:rPr>
                <w:sz w:val="22"/>
                <w:szCs w:val="22"/>
              </w:rPr>
              <w:t>4.6.</w:t>
            </w:r>
          </w:p>
        </w:tc>
        <w:tc>
          <w:tcPr>
            <w:tcW w:w="7232" w:type="dxa"/>
            <w:tcBorders>
              <w:top w:val="nil"/>
              <w:left w:val="nil"/>
              <w:bottom w:val="nil"/>
              <w:right w:val="nil"/>
            </w:tcBorders>
          </w:tcPr>
          <w:p w14:paraId="70C2285C" w14:textId="6EB0B490" w:rsidR="00FF498E" w:rsidRPr="00662A7D" w:rsidRDefault="00FF498E" w:rsidP="00326A38">
            <w:pPr>
              <w:pStyle w:val="Default"/>
              <w:rPr>
                <w:sz w:val="22"/>
                <w:szCs w:val="22"/>
              </w:rPr>
            </w:pPr>
            <w:r w:rsidRPr="00662A7D">
              <w:rPr>
                <w:sz w:val="22"/>
                <w:szCs w:val="22"/>
              </w:rPr>
              <w:t>Cobertura del riesgo de crédito</w:t>
            </w:r>
          </w:p>
        </w:tc>
        <w:tc>
          <w:tcPr>
            <w:tcW w:w="1417" w:type="dxa"/>
            <w:tcBorders>
              <w:top w:val="nil"/>
              <w:left w:val="nil"/>
              <w:bottom w:val="nil"/>
              <w:right w:val="nil"/>
            </w:tcBorders>
          </w:tcPr>
          <w:p w14:paraId="639344E2" w14:textId="45B68DD0" w:rsidR="00FF498E" w:rsidRPr="00662A7D" w:rsidRDefault="00D870A6" w:rsidP="00FF498E">
            <w:pPr>
              <w:pStyle w:val="Default"/>
              <w:jc w:val="center"/>
              <w:rPr>
                <w:sz w:val="22"/>
                <w:szCs w:val="22"/>
              </w:rPr>
            </w:pPr>
            <w:r>
              <w:rPr>
                <w:sz w:val="22"/>
                <w:szCs w:val="22"/>
              </w:rPr>
              <w:t>1</w:t>
            </w:r>
            <w:r w:rsidR="007E0A76">
              <w:rPr>
                <w:sz w:val="22"/>
                <w:szCs w:val="22"/>
              </w:rPr>
              <w:t>5</w:t>
            </w:r>
          </w:p>
        </w:tc>
      </w:tr>
      <w:tr w:rsidR="00FF498E" w14:paraId="4A286F67" w14:textId="77777777" w:rsidTr="00326A38">
        <w:tc>
          <w:tcPr>
            <w:tcW w:w="985" w:type="dxa"/>
            <w:tcBorders>
              <w:top w:val="nil"/>
              <w:left w:val="nil"/>
              <w:bottom w:val="nil"/>
              <w:right w:val="nil"/>
            </w:tcBorders>
          </w:tcPr>
          <w:p w14:paraId="136351F6" w14:textId="6099D114" w:rsidR="00FF498E" w:rsidRPr="00662A7D" w:rsidRDefault="00FF498E" w:rsidP="00B55D67">
            <w:pPr>
              <w:pStyle w:val="Default"/>
              <w:rPr>
                <w:sz w:val="22"/>
                <w:szCs w:val="22"/>
              </w:rPr>
            </w:pPr>
            <w:r w:rsidRPr="00662A7D">
              <w:rPr>
                <w:sz w:val="22"/>
                <w:szCs w:val="22"/>
              </w:rPr>
              <w:t>4.7.</w:t>
            </w:r>
          </w:p>
        </w:tc>
        <w:tc>
          <w:tcPr>
            <w:tcW w:w="7232" w:type="dxa"/>
            <w:tcBorders>
              <w:top w:val="nil"/>
              <w:left w:val="nil"/>
              <w:bottom w:val="nil"/>
              <w:right w:val="nil"/>
            </w:tcBorders>
          </w:tcPr>
          <w:p w14:paraId="644BFB25" w14:textId="1AA4A359" w:rsidR="00FF498E" w:rsidRPr="00662A7D" w:rsidRDefault="00FF498E" w:rsidP="00326A38">
            <w:pPr>
              <w:pStyle w:val="Default"/>
              <w:rPr>
                <w:sz w:val="22"/>
                <w:szCs w:val="22"/>
              </w:rPr>
            </w:pPr>
            <w:r w:rsidRPr="00662A7D">
              <w:rPr>
                <w:sz w:val="22"/>
                <w:szCs w:val="22"/>
              </w:rPr>
              <w:t>Activos en suspenso</w:t>
            </w:r>
          </w:p>
        </w:tc>
        <w:tc>
          <w:tcPr>
            <w:tcW w:w="1417" w:type="dxa"/>
            <w:tcBorders>
              <w:top w:val="nil"/>
              <w:left w:val="nil"/>
              <w:bottom w:val="nil"/>
              <w:right w:val="nil"/>
            </w:tcBorders>
          </w:tcPr>
          <w:p w14:paraId="51EE9DCC" w14:textId="793CFC2C" w:rsidR="00FF498E" w:rsidRPr="00662A7D" w:rsidRDefault="00D870A6" w:rsidP="00FF498E">
            <w:pPr>
              <w:pStyle w:val="Default"/>
              <w:jc w:val="center"/>
              <w:rPr>
                <w:sz w:val="22"/>
                <w:szCs w:val="22"/>
              </w:rPr>
            </w:pPr>
            <w:r>
              <w:rPr>
                <w:sz w:val="22"/>
                <w:szCs w:val="22"/>
              </w:rPr>
              <w:t>1</w:t>
            </w:r>
            <w:r w:rsidR="007E0A76">
              <w:rPr>
                <w:sz w:val="22"/>
                <w:szCs w:val="22"/>
              </w:rPr>
              <w:t>6</w:t>
            </w:r>
          </w:p>
        </w:tc>
      </w:tr>
      <w:tr w:rsidR="00FF498E" w14:paraId="67CB4CC7" w14:textId="77777777" w:rsidTr="00326A38">
        <w:tc>
          <w:tcPr>
            <w:tcW w:w="985" w:type="dxa"/>
            <w:tcBorders>
              <w:top w:val="nil"/>
              <w:left w:val="nil"/>
              <w:bottom w:val="nil"/>
              <w:right w:val="nil"/>
            </w:tcBorders>
          </w:tcPr>
          <w:p w14:paraId="0C46A986" w14:textId="2A9A92FE" w:rsidR="00FF498E" w:rsidRPr="00662A7D" w:rsidRDefault="00FF498E" w:rsidP="00B55D67">
            <w:pPr>
              <w:pStyle w:val="Default"/>
              <w:rPr>
                <w:sz w:val="22"/>
                <w:szCs w:val="22"/>
              </w:rPr>
            </w:pPr>
            <w:r w:rsidRPr="00662A7D">
              <w:rPr>
                <w:sz w:val="22"/>
                <w:szCs w:val="22"/>
              </w:rPr>
              <w:t>4.8.</w:t>
            </w:r>
          </w:p>
        </w:tc>
        <w:tc>
          <w:tcPr>
            <w:tcW w:w="7232" w:type="dxa"/>
            <w:tcBorders>
              <w:top w:val="nil"/>
              <w:left w:val="nil"/>
              <w:bottom w:val="nil"/>
              <w:right w:val="nil"/>
            </w:tcBorders>
          </w:tcPr>
          <w:p w14:paraId="0DE22AC3" w14:textId="79B61046" w:rsidR="00FF498E" w:rsidRPr="00662A7D" w:rsidRDefault="00FF498E" w:rsidP="00326A38">
            <w:pPr>
              <w:pStyle w:val="Default"/>
              <w:rPr>
                <w:sz w:val="22"/>
                <w:szCs w:val="22"/>
              </w:rPr>
            </w:pPr>
            <w:r w:rsidRPr="00662A7D">
              <w:rPr>
                <w:sz w:val="22"/>
                <w:szCs w:val="22"/>
              </w:rPr>
              <w:t>Métodos utilizados para el cálculo de requerimientos de recursos propios</w:t>
            </w:r>
          </w:p>
        </w:tc>
        <w:tc>
          <w:tcPr>
            <w:tcW w:w="1417" w:type="dxa"/>
            <w:tcBorders>
              <w:top w:val="nil"/>
              <w:left w:val="nil"/>
              <w:bottom w:val="nil"/>
              <w:right w:val="nil"/>
            </w:tcBorders>
          </w:tcPr>
          <w:p w14:paraId="388F2D58" w14:textId="112C5FBE" w:rsidR="00FF498E" w:rsidRPr="00662A7D" w:rsidRDefault="00D870A6" w:rsidP="00FF498E">
            <w:pPr>
              <w:pStyle w:val="Default"/>
              <w:jc w:val="center"/>
              <w:rPr>
                <w:sz w:val="22"/>
                <w:szCs w:val="22"/>
              </w:rPr>
            </w:pPr>
            <w:r>
              <w:rPr>
                <w:sz w:val="22"/>
                <w:szCs w:val="22"/>
              </w:rPr>
              <w:t>1</w:t>
            </w:r>
            <w:r w:rsidR="007E0A76">
              <w:rPr>
                <w:sz w:val="22"/>
                <w:szCs w:val="22"/>
              </w:rPr>
              <w:t>6</w:t>
            </w:r>
          </w:p>
        </w:tc>
      </w:tr>
      <w:tr w:rsidR="00FF498E" w14:paraId="7330A2EA" w14:textId="77777777" w:rsidTr="00326A38">
        <w:tc>
          <w:tcPr>
            <w:tcW w:w="985" w:type="dxa"/>
            <w:tcBorders>
              <w:top w:val="nil"/>
              <w:left w:val="nil"/>
              <w:bottom w:val="nil"/>
              <w:right w:val="nil"/>
            </w:tcBorders>
          </w:tcPr>
          <w:p w14:paraId="6D9888F8" w14:textId="4230E84B" w:rsidR="00FF498E" w:rsidRPr="00662A7D" w:rsidRDefault="00FF498E" w:rsidP="00B55D67">
            <w:pPr>
              <w:pStyle w:val="Default"/>
              <w:rPr>
                <w:sz w:val="22"/>
                <w:szCs w:val="22"/>
              </w:rPr>
            </w:pPr>
            <w:r w:rsidRPr="00662A7D">
              <w:rPr>
                <w:sz w:val="22"/>
                <w:szCs w:val="22"/>
              </w:rPr>
              <w:t>5.</w:t>
            </w:r>
          </w:p>
        </w:tc>
        <w:tc>
          <w:tcPr>
            <w:tcW w:w="7232" w:type="dxa"/>
            <w:tcBorders>
              <w:top w:val="nil"/>
              <w:left w:val="nil"/>
              <w:bottom w:val="nil"/>
              <w:right w:val="nil"/>
            </w:tcBorders>
          </w:tcPr>
          <w:p w14:paraId="0FCB94B2" w14:textId="28926BA2" w:rsidR="00FF498E" w:rsidRPr="00662A7D" w:rsidRDefault="00FF498E" w:rsidP="00326A38">
            <w:pPr>
              <w:pStyle w:val="Default"/>
              <w:rPr>
                <w:sz w:val="22"/>
                <w:szCs w:val="22"/>
              </w:rPr>
            </w:pPr>
            <w:r w:rsidRPr="00662A7D">
              <w:rPr>
                <w:sz w:val="22"/>
                <w:szCs w:val="22"/>
              </w:rPr>
              <w:t>Información sobre el riesgo de tipo de interés</w:t>
            </w:r>
          </w:p>
        </w:tc>
        <w:tc>
          <w:tcPr>
            <w:tcW w:w="1417" w:type="dxa"/>
            <w:tcBorders>
              <w:top w:val="nil"/>
              <w:left w:val="nil"/>
              <w:bottom w:val="nil"/>
              <w:right w:val="nil"/>
            </w:tcBorders>
          </w:tcPr>
          <w:p w14:paraId="10143B39" w14:textId="347134DB" w:rsidR="00FF498E" w:rsidRPr="00662A7D" w:rsidRDefault="00D870A6" w:rsidP="00FF498E">
            <w:pPr>
              <w:pStyle w:val="Default"/>
              <w:jc w:val="center"/>
              <w:rPr>
                <w:sz w:val="22"/>
                <w:szCs w:val="22"/>
              </w:rPr>
            </w:pPr>
            <w:r>
              <w:rPr>
                <w:sz w:val="22"/>
                <w:szCs w:val="22"/>
              </w:rPr>
              <w:t>1</w:t>
            </w:r>
            <w:r w:rsidR="007E0A76">
              <w:rPr>
                <w:sz w:val="22"/>
                <w:szCs w:val="22"/>
              </w:rPr>
              <w:t>6</w:t>
            </w:r>
          </w:p>
        </w:tc>
      </w:tr>
      <w:tr w:rsidR="00FF498E" w14:paraId="4E3F354F" w14:textId="77777777" w:rsidTr="00326A38">
        <w:tc>
          <w:tcPr>
            <w:tcW w:w="985" w:type="dxa"/>
            <w:tcBorders>
              <w:top w:val="nil"/>
              <w:left w:val="nil"/>
              <w:bottom w:val="nil"/>
              <w:right w:val="nil"/>
            </w:tcBorders>
          </w:tcPr>
          <w:p w14:paraId="1D7448F8" w14:textId="6531D63F" w:rsidR="00FF498E" w:rsidRPr="00662A7D" w:rsidRDefault="00FF498E" w:rsidP="00B55D67">
            <w:pPr>
              <w:pStyle w:val="Default"/>
              <w:rPr>
                <w:sz w:val="22"/>
                <w:szCs w:val="22"/>
              </w:rPr>
            </w:pPr>
            <w:r w:rsidRPr="00662A7D">
              <w:rPr>
                <w:sz w:val="22"/>
                <w:szCs w:val="22"/>
              </w:rPr>
              <w:t>6.</w:t>
            </w:r>
          </w:p>
        </w:tc>
        <w:tc>
          <w:tcPr>
            <w:tcW w:w="7232" w:type="dxa"/>
            <w:tcBorders>
              <w:top w:val="nil"/>
              <w:left w:val="nil"/>
              <w:bottom w:val="nil"/>
              <w:right w:val="nil"/>
            </w:tcBorders>
          </w:tcPr>
          <w:p w14:paraId="11200FFD" w14:textId="42C70DC9" w:rsidR="00FF498E" w:rsidRPr="00662A7D" w:rsidRDefault="00FF498E" w:rsidP="00326A38">
            <w:pPr>
              <w:pStyle w:val="Default"/>
              <w:rPr>
                <w:sz w:val="22"/>
                <w:szCs w:val="22"/>
              </w:rPr>
            </w:pPr>
            <w:r w:rsidRPr="00662A7D">
              <w:rPr>
                <w:sz w:val="22"/>
                <w:szCs w:val="22"/>
              </w:rPr>
              <w:t>Riesgo de liquidez y financiación</w:t>
            </w:r>
          </w:p>
        </w:tc>
        <w:tc>
          <w:tcPr>
            <w:tcW w:w="1417" w:type="dxa"/>
            <w:tcBorders>
              <w:top w:val="nil"/>
              <w:left w:val="nil"/>
              <w:bottom w:val="nil"/>
              <w:right w:val="nil"/>
            </w:tcBorders>
          </w:tcPr>
          <w:p w14:paraId="161211BD" w14:textId="4AD47656" w:rsidR="00FF498E" w:rsidRPr="00662A7D" w:rsidRDefault="004E187C" w:rsidP="00FF498E">
            <w:pPr>
              <w:pStyle w:val="Default"/>
              <w:jc w:val="center"/>
              <w:rPr>
                <w:sz w:val="22"/>
                <w:szCs w:val="22"/>
              </w:rPr>
            </w:pPr>
            <w:r>
              <w:rPr>
                <w:sz w:val="22"/>
                <w:szCs w:val="22"/>
              </w:rPr>
              <w:t>1</w:t>
            </w:r>
            <w:r w:rsidR="007E0A76">
              <w:rPr>
                <w:sz w:val="22"/>
                <w:szCs w:val="22"/>
              </w:rPr>
              <w:t>6</w:t>
            </w:r>
          </w:p>
        </w:tc>
      </w:tr>
    </w:tbl>
    <w:p w14:paraId="1E0A8A17" w14:textId="77777777" w:rsidR="00B55D67" w:rsidRPr="00B55D67" w:rsidRDefault="00B55D67" w:rsidP="00B55D67">
      <w:pPr>
        <w:pStyle w:val="Default"/>
        <w:rPr>
          <w:sz w:val="20"/>
          <w:szCs w:val="20"/>
        </w:rPr>
      </w:pPr>
    </w:p>
    <w:p w14:paraId="23541D03" w14:textId="77777777" w:rsidR="00E850F7" w:rsidRPr="00662A7D" w:rsidRDefault="00E850F7" w:rsidP="00443892">
      <w:pPr>
        <w:pStyle w:val="Default"/>
        <w:pageBreakBefore/>
        <w:spacing w:after="120"/>
        <w:jc w:val="both"/>
        <w:rPr>
          <w:color w:val="939F27" w:themeColor="accent3" w:themeShade="BF"/>
          <w:sz w:val="22"/>
          <w:szCs w:val="22"/>
        </w:rPr>
      </w:pPr>
      <w:r w:rsidRPr="00662A7D">
        <w:rPr>
          <w:b/>
          <w:bCs/>
          <w:color w:val="939F27" w:themeColor="accent3" w:themeShade="BF"/>
          <w:sz w:val="22"/>
          <w:szCs w:val="22"/>
        </w:rPr>
        <w:lastRenderedPageBreak/>
        <w:t xml:space="preserve">0. Introducción </w:t>
      </w:r>
    </w:p>
    <w:p w14:paraId="6CE9B016" w14:textId="77777777" w:rsidR="00E850F7" w:rsidRPr="00B55D67" w:rsidRDefault="00E850F7" w:rsidP="00443892">
      <w:pPr>
        <w:pStyle w:val="Default"/>
        <w:spacing w:after="120"/>
        <w:jc w:val="both"/>
        <w:rPr>
          <w:sz w:val="22"/>
          <w:szCs w:val="22"/>
        </w:rPr>
      </w:pPr>
      <w:r w:rsidRPr="00B55D67">
        <w:rPr>
          <w:sz w:val="22"/>
          <w:szCs w:val="22"/>
        </w:rPr>
        <w:t xml:space="preserve">El objetivo del presente documento, denominado “Información de relevancia prudencial” consiste en cumplir con las obligaciones de información al mercado descritas el capítulo undécimo de la Circular 3/2008, de 22 de mayo, del Banco de España, sobre determinación y control de los recursos propios mínimos. </w:t>
      </w:r>
    </w:p>
    <w:p w14:paraId="5C153E71" w14:textId="70AE710E" w:rsidR="00E850F7" w:rsidRPr="00B55D67" w:rsidRDefault="00E850F7" w:rsidP="00443892">
      <w:pPr>
        <w:pStyle w:val="Default"/>
        <w:spacing w:after="120"/>
        <w:jc w:val="both"/>
        <w:rPr>
          <w:sz w:val="22"/>
          <w:szCs w:val="22"/>
        </w:rPr>
      </w:pPr>
      <w:r w:rsidRPr="00B55D67">
        <w:rPr>
          <w:sz w:val="22"/>
          <w:szCs w:val="22"/>
        </w:rPr>
        <w:t xml:space="preserve">Los establecimientos financieros de crédito </w:t>
      </w:r>
      <w:r w:rsidR="00662A7D">
        <w:rPr>
          <w:sz w:val="22"/>
          <w:szCs w:val="22"/>
        </w:rPr>
        <w:t xml:space="preserve">(en adelante EFC) </w:t>
      </w:r>
      <w:r w:rsidRPr="00B55D67">
        <w:rPr>
          <w:sz w:val="22"/>
          <w:szCs w:val="22"/>
        </w:rPr>
        <w:t xml:space="preserve">eran considerados, hasta finales de 2013, entidades de crédito, y como tales se regían, en materia de supervisión y solvencia, por la legislación sobre fondos propios y supervisión en base consolidada de las entidades de crédito, dictada a partir de la Ley 36/2007, de 16 de noviembre, por la que se modifican la Ley 13/1985, de 25 de mayo, de coeficientes de inversión, recursos propios y obligaciones de información de los intermediarios financieros, y otras normas del sistema financiero. </w:t>
      </w:r>
    </w:p>
    <w:p w14:paraId="36095808" w14:textId="2C19F163" w:rsidR="00E850F7" w:rsidRPr="00B55D67" w:rsidRDefault="00E850F7" w:rsidP="00443892">
      <w:pPr>
        <w:pStyle w:val="Default"/>
        <w:spacing w:after="120"/>
        <w:jc w:val="both"/>
        <w:rPr>
          <w:sz w:val="22"/>
          <w:szCs w:val="22"/>
        </w:rPr>
      </w:pPr>
      <w:r w:rsidRPr="00B55D67">
        <w:rPr>
          <w:sz w:val="22"/>
          <w:szCs w:val="22"/>
        </w:rPr>
        <w:t xml:space="preserve">Los </w:t>
      </w:r>
      <w:r w:rsidR="00662A7D">
        <w:rPr>
          <w:sz w:val="22"/>
          <w:szCs w:val="22"/>
        </w:rPr>
        <w:t>EFC</w:t>
      </w:r>
      <w:r w:rsidRPr="00B55D67">
        <w:rPr>
          <w:sz w:val="22"/>
          <w:szCs w:val="22"/>
        </w:rPr>
        <w:t xml:space="preserve"> perdieron su condición de entidad de crédito con la adaptación del derecho español al régimen jurídico fundamental de la Unión Europea en materia de supervisión y solvencia y de acceso a la actividad de las entidades de crédito, materializado en la Directiva 2013/36/UE del Parlamento Europeo y del Consejo, de 26 de junio de 2013, relativa al acceso a la actividad de las entidades de crédito y a la supervisión prudencial de las entidades de crédito y las empresas de inversión, por la que se modifica la Directiva 2002/87/CE y se derogan las directivas 2006/48/CE y 2006/49/CE, y en el Reglamento (UE) n.º 575/2013 del Parlamento Europeo y del Consejo, de 26 de junio de 2013, sobre los requisitos prudenciales de las entidades de crédito y las empresas de inversión, y por el que se modifica el Reglamento (UE) n.º 648/2012. </w:t>
      </w:r>
    </w:p>
    <w:p w14:paraId="36F1D779" w14:textId="108DAB00" w:rsidR="00FF498E" w:rsidRDefault="00E850F7" w:rsidP="00443892">
      <w:pPr>
        <w:pStyle w:val="Default"/>
        <w:spacing w:after="120"/>
        <w:jc w:val="both"/>
        <w:rPr>
          <w:sz w:val="22"/>
          <w:szCs w:val="22"/>
        </w:rPr>
      </w:pPr>
      <w:r w:rsidRPr="00B55D67">
        <w:rPr>
          <w:sz w:val="22"/>
          <w:szCs w:val="22"/>
        </w:rPr>
        <w:t xml:space="preserve">En particular, es el Real Decreto-ley 14/2013, de 29 de noviembre, de medidas urgentes para la adaptación del derecho español a la normativa de la Unión Europea en materia de supervisión y solvencia de entidades financieras, el que introdujo en el ordenamiento jurídico español la definición actualizada de entidad de crédito contenida en el Reglamento (UE) n.º 575/2013, que, con efectos de 1 de enero de 2014, excluía los </w:t>
      </w:r>
      <w:r w:rsidR="00662A7D">
        <w:rPr>
          <w:sz w:val="22"/>
          <w:szCs w:val="22"/>
        </w:rPr>
        <w:t>EFC</w:t>
      </w:r>
      <w:r w:rsidRPr="00B55D67">
        <w:rPr>
          <w:sz w:val="22"/>
          <w:szCs w:val="22"/>
        </w:rPr>
        <w:t xml:space="preserve">, por no estar entre sus actividades el recibir del público depósitos u otros fondos reembolsables. </w:t>
      </w:r>
    </w:p>
    <w:p w14:paraId="53D215DB" w14:textId="43372E23" w:rsidR="00E850F7" w:rsidRPr="00B55D67" w:rsidRDefault="00E850F7" w:rsidP="00443892">
      <w:pPr>
        <w:pStyle w:val="Default"/>
        <w:jc w:val="both"/>
        <w:rPr>
          <w:color w:val="auto"/>
          <w:sz w:val="22"/>
          <w:szCs w:val="22"/>
        </w:rPr>
      </w:pPr>
      <w:r w:rsidRPr="00B55D67">
        <w:rPr>
          <w:color w:val="auto"/>
          <w:sz w:val="22"/>
          <w:szCs w:val="22"/>
        </w:rPr>
        <w:t xml:space="preserve">Al mismo tiempo, el Real Decreto-ley 14/2013 dispuso un régimen provisional aplicable a este tipo de entidades hasta la aprobación de su nuevo régimen jurídico. </w:t>
      </w:r>
    </w:p>
    <w:p w14:paraId="3D9D5E62" w14:textId="611958AF" w:rsidR="00E850F7" w:rsidRPr="00B55D67" w:rsidRDefault="00E850F7" w:rsidP="00443892">
      <w:pPr>
        <w:pStyle w:val="Default"/>
        <w:spacing w:after="120"/>
        <w:jc w:val="both"/>
        <w:rPr>
          <w:color w:val="auto"/>
          <w:sz w:val="22"/>
          <w:szCs w:val="22"/>
        </w:rPr>
      </w:pPr>
      <w:r w:rsidRPr="00B55D67">
        <w:rPr>
          <w:color w:val="auto"/>
          <w:sz w:val="22"/>
          <w:szCs w:val="22"/>
        </w:rPr>
        <w:t xml:space="preserve">El título II de la Ley 5/2015, de 27 de abril, de fomento de la financiación empresarial, estableció el nuevo régimen jurídico general de los </w:t>
      </w:r>
      <w:r w:rsidR="00662A7D">
        <w:rPr>
          <w:color w:val="auto"/>
          <w:sz w:val="22"/>
          <w:szCs w:val="22"/>
        </w:rPr>
        <w:t>EFC</w:t>
      </w:r>
      <w:r w:rsidRPr="00B55D67">
        <w:rPr>
          <w:color w:val="auto"/>
          <w:sz w:val="22"/>
          <w:szCs w:val="22"/>
        </w:rPr>
        <w:t xml:space="preserve">. </w:t>
      </w:r>
    </w:p>
    <w:p w14:paraId="593A97B0" w14:textId="06B9F66F" w:rsidR="00E850F7" w:rsidRPr="00B55D67" w:rsidRDefault="00E850F7" w:rsidP="00443892">
      <w:pPr>
        <w:pStyle w:val="Default"/>
        <w:spacing w:after="120"/>
        <w:jc w:val="both"/>
        <w:rPr>
          <w:color w:val="auto"/>
          <w:sz w:val="22"/>
          <w:szCs w:val="22"/>
        </w:rPr>
      </w:pPr>
      <w:r w:rsidRPr="00B55D67">
        <w:rPr>
          <w:color w:val="auto"/>
          <w:sz w:val="22"/>
          <w:szCs w:val="22"/>
        </w:rPr>
        <w:t xml:space="preserve">La disposición adicional segunda de la Ley 5/2015 pone de manifiesto la voluntad del legislador de que los </w:t>
      </w:r>
      <w:r w:rsidR="00662A7D">
        <w:rPr>
          <w:color w:val="auto"/>
          <w:sz w:val="22"/>
          <w:szCs w:val="22"/>
        </w:rPr>
        <w:t>EFC</w:t>
      </w:r>
      <w:r w:rsidRPr="00B55D67">
        <w:rPr>
          <w:color w:val="auto"/>
          <w:sz w:val="22"/>
          <w:szCs w:val="22"/>
        </w:rPr>
        <w:t xml:space="preserve"> permanezcan sometidos a unos requisitos prudenciales comparables en términos de solidez a los de las entidades de crédito a efectos de lo dispuesto en el apartado 5 del artículo 119 del Reglamento (UE) n.º 575/2013. Por este motivo, el artículo 7 de la Ley 5/2015 establece que los </w:t>
      </w:r>
      <w:r w:rsidR="00662A7D">
        <w:rPr>
          <w:color w:val="auto"/>
          <w:sz w:val="22"/>
          <w:szCs w:val="22"/>
        </w:rPr>
        <w:t>EFC</w:t>
      </w:r>
      <w:r w:rsidRPr="00B55D67">
        <w:rPr>
          <w:color w:val="auto"/>
          <w:sz w:val="22"/>
          <w:szCs w:val="22"/>
        </w:rPr>
        <w:t xml:space="preserve"> se regirán por lo dispuesto en dicha ley y en su normativa de desarrollo, y que, para todo lo no contemplado en la citada normativa, su régimen jurídico será el previsto para las entidades de crédito. </w:t>
      </w:r>
    </w:p>
    <w:p w14:paraId="458C9A42" w14:textId="799125E8" w:rsidR="00E850F7" w:rsidRPr="00FF498E" w:rsidRDefault="00E850F7" w:rsidP="00443892">
      <w:pPr>
        <w:pStyle w:val="Default"/>
        <w:jc w:val="both"/>
        <w:rPr>
          <w:sz w:val="22"/>
          <w:szCs w:val="22"/>
        </w:rPr>
      </w:pPr>
      <w:r w:rsidRPr="00B55D67">
        <w:rPr>
          <w:color w:val="auto"/>
          <w:sz w:val="22"/>
          <w:szCs w:val="22"/>
        </w:rPr>
        <w:t xml:space="preserve">El artículo 12 de la Ley 5/2015 dispone que la normativa de solvencia aplicable a los </w:t>
      </w:r>
      <w:r w:rsidR="00662A7D">
        <w:rPr>
          <w:color w:val="auto"/>
          <w:sz w:val="22"/>
          <w:szCs w:val="22"/>
        </w:rPr>
        <w:t>EFC</w:t>
      </w:r>
      <w:r w:rsidRPr="00B55D67">
        <w:rPr>
          <w:color w:val="auto"/>
          <w:sz w:val="22"/>
          <w:szCs w:val="22"/>
        </w:rPr>
        <w:t xml:space="preserve"> será la Ley 10/2014, de 26 de junio, de ordenación, supervisión y solvencia de entidades de crédito, y su normativa de desarrollo, con las particularidades que se prevean reglamentariamente. En este sentido, el artículo 39 de la Ley 10/2014 especifica que la </w:t>
      </w:r>
      <w:r w:rsidRPr="00B55D67">
        <w:rPr>
          <w:color w:val="auto"/>
          <w:sz w:val="22"/>
          <w:szCs w:val="22"/>
        </w:rPr>
        <w:lastRenderedPageBreak/>
        <w:t xml:space="preserve">normativa de solvencia de las entidades de crédito (aplicable, por tanto, a los </w:t>
      </w:r>
      <w:r w:rsidR="0079797B">
        <w:rPr>
          <w:color w:val="auto"/>
          <w:sz w:val="22"/>
          <w:szCs w:val="22"/>
        </w:rPr>
        <w:t>EFC</w:t>
      </w:r>
      <w:r w:rsidRPr="00B55D67">
        <w:rPr>
          <w:color w:val="auto"/>
          <w:sz w:val="22"/>
          <w:szCs w:val="22"/>
        </w:rPr>
        <w:t>) es la prevista en el Reglamento (UE) n.º 575/2013, en esa ley y en sus disposiciones de desarrollo</w:t>
      </w:r>
      <w:r w:rsidR="00FF498E">
        <w:rPr>
          <w:color w:val="FFFFFF"/>
          <w:sz w:val="22"/>
          <w:szCs w:val="22"/>
        </w:rPr>
        <w:t>.</w:t>
      </w:r>
    </w:p>
    <w:p w14:paraId="3E06A088" w14:textId="77777777" w:rsidR="00E850F7" w:rsidRPr="00B55D67" w:rsidRDefault="00E850F7" w:rsidP="00443892">
      <w:pPr>
        <w:pStyle w:val="Default"/>
        <w:jc w:val="both"/>
        <w:rPr>
          <w:color w:val="auto"/>
          <w:sz w:val="22"/>
          <w:szCs w:val="22"/>
        </w:rPr>
      </w:pPr>
    </w:p>
    <w:p w14:paraId="1F4950FB" w14:textId="77777777" w:rsidR="00E850F7" w:rsidRPr="00662A7D" w:rsidRDefault="00E850F7" w:rsidP="00443892">
      <w:pPr>
        <w:pStyle w:val="Default"/>
        <w:pageBreakBefore/>
        <w:spacing w:after="120"/>
        <w:jc w:val="both"/>
        <w:rPr>
          <w:color w:val="939F27" w:themeColor="accent3" w:themeShade="BF"/>
          <w:sz w:val="22"/>
          <w:szCs w:val="22"/>
        </w:rPr>
      </w:pPr>
      <w:r w:rsidRPr="00662A7D">
        <w:rPr>
          <w:b/>
          <w:bCs/>
          <w:color w:val="939F27" w:themeColor="accent3" w:themeShade="BF"/>
          <w:sz w:val="22"/>
          <w:szCs w:val="22"/>
        </w:rPr>
        <w:lastRenderedPageBreak/>
        <w:t xml:space="preserve">1. Requerimientos generales </w:t>
      </w:r>
    </w:p>
    <w:p w14:paraId="5AB48346" w14:textId="77777777" w:rsidR="00E850F7" w:rsidRPr="00662A7D" w:rsidRDefault="00E850F7" w:rsidP="00443892">
      <w:pPr>
        <w:pStyle w:val="Default"/>
        <w:spacing w:after="120"/>
        <w:jc w:val="both"/>
        <w:rPr>
          <w:color w:val="626A1A" w:themeColor="accent3" w:themeShade="80"/>
          <w:sz w:val="22"/>
          <w:szCs w:val="22"/>
        </w:rPr>
      </w:pPr>
      <w:r w:rsidRPr="00662A7D">
        <w:rPr>
          <w:b/>
          <w:bCs/>
          <w:color w:val="626A1A" w:themeColor="accent3" w:themeShade="80"/>
          <w:sz w:val="22"/>
          <w:szCs w:val="22"/>
        </w:rPr>
        <w:t xml:space="preserve">1.1. Denominación o razón social </w:t>
      </w:r>
    </w:p>
    <w:p w14:paraId="5A1D0951" w14:textId="1455EE45" w:rsidR="00E850F7" w:rsidRPr="00B55D67" w:rsidRDefault="00662A7D" w:rsidP="00443892">
      <w:pPr>
        <w:pStyle w:val="Default"/>
        <w:spacing w:after="120"/>
        <w:jc w:val="both"/>
        <w:rPr>
          <w:sz w:val="22"/>
          <w:szCs w:val="22"/>
        </w:rPr>
      </w:pPr>
      <w:r>
        <w:rPr>
          <w:sz w:val="22"/>
          <w:szCs w:val="22"/>
        </w:rPr>
        <w:t>Bange Credit</w:t>
      </w:r>
      <w:r w:rsidR="00E850F7" w:rsidRPr="00B55D67">
        <w:rPr>
          <w:sz w:val="22"/>
          <w:szCs w:val="22"/>
        </w:rPr>
        <w:t>, E.F.C., S.A.</w:t>
      </w:r>
      <w:r>
        <w:rPr>
          <w:sz w:val="22"/>
          <w:szCs w:val="22"/>
        </w:rPr>
        <w:t>U.</w:t>
      </w:r>
      <w:r w:rsidR="00E850F7" w:rsidRPr="00B55D67">
        <w:rPr>
          <w:sz w:val="22"/>
          <w:szCs w:val="22"/>
        </w:rPr>
        <w:t xml:space="preserve">, en adelante la “Entidad”, es una Entidad de Crédito sujeta a la normativa y disposiciones reguladoras de los </w:t>
      </w:r>
      <w:r>
        <w:rPr>
          <w:sz w:val="22"/>
          <w:szCs w:val="22"/>
        </w:rPr>
        <w:t>EFC</w:t>
      </w:r>
      <w:r w:rsidR="00E850F7" w:rsidRPr="00B55D67">
        <w:rPr>
          <w:sz w:val="22"/>
          <w:szCs w:val="22"/>
        </w:rPr>
        <w:t xml:space="preserve">. Su domicilio social se encuentra en </w:t>
      </w:r>
      <w:r>
        <w:rPr>
          <w:sz w:val="22"/>
          <w:szCs w:val="22"/>
        </w:rPr>
        <w:t>la Calle Serrano</w:t>
      </w:r>
      <w:r w:rsidR="00E850F7" w:rsidRPr="00B55D67">
        <w:rPr>
          <w:sz w:val="22"/>
          <w:szCs w:val="22"/>
        </w:rPr>
        <w:t xml:space="preserve"> </w:t>
      </w:r>
      <w:r>
        <w:rPr>
          <w:sz w:val="22"/>
          <w:szCs w:val="22"/>
        </w:rPr>
        <w:t>106</w:t>
      </w:r>
      <w:r w:rsidR="00E850F7" w:rsidRPr="00B55D67">
        <w:rPr>
          <w:sz w:val="22"/>
          <w:szCs w:val="22"/>
        </w:rPr>
        <w:t>, 280</w:t>
      </w:r>
      <w:r>
        <w:rPr>
          <w:sz w:val="22"/>
          <w:szCs w:val="22"/>
        </w:rPr>
        <w:t>06</w:t>
      </w:r>
      <w:r w:rsidR="00E850F7" w:rsidRPr="00B55D67">
        <w:rPr>
          <w:sz w:val="22"/>
          <w:szCs w:val="22"/>
        </w:rPr>
        <w:t xml:space="preserve">, Madrid. </w:t>
      </w:r>
    </w:p>
    <w:p w14:paraId="26FB500E" w14:textId="39782960" w:rsidR="00E850F7" w:rsidRPr="00B55D67" w:rsidRDefault="00E850F7" w:rsidP="00443892">
      <w:pPr>
        <w:pStyle w:val="Default"/>
        <w:spacing w:after="100" w:afterAutospacing="1"/>
        <w:jc w:val="both"/>
        <w:rPr>
          <w:sz w:val="22"/>
          <w:szCs w:val="22"/>
        </w:rPr>
      </w:pPr>
      <w:r w:rsidRPr="00662A7D">
        <w:rPr>
          <w:b/>
          <w:bCs/>
          <w:color w:val="626A1A" w:themeColor="accent3" w:themeShade="80"/>
          <w:sz w:val="22"/>
          <w:szCs w:val="22"/>
        </w:rPr>
        <w:t>1.2. Impedimentos para inmediata transferencia de Fondos Propios</w:t>
      </w:r>
    </w:p>
    <w:p w14:paraId="123AE495" w14:textId="77777777" w:rsidR="00E850F7" w:rsidRPr="00B55D67" w:rsidRDefault="00E850F7" w:rsidP="00443892">
      <w:pPr>
        <w:pStyle w:val="Default"/>
        <w:spacing w:after="120"/>
        <w:jc w:val="both"/>
        <w:rPr>
          <w:sz w:val="22"/>
          <w:szCs w:val="22"/>
        </w:rPr>
      </w:pPr>
      <w:r w:rsidRPr="00B55D67">
        <w:rPr>
          <w:sz w:val="22"/>
          <w:szCs w:val="22"/>
        </w:rPr>
        <w:t xml:space="preserve">A 31 de diciembre de 2024 no existe impedimento de carácter material alguno, práctico o jurídico, a la inmediata transferencia de fondos propios por parte de los accionistas a la Entidad, no existiendo ningún hecho que haga pensar que puedan existir dichos impedimentos en el futuro. </w:t>
      </w:r>
    </w:p>
    <w:p w14:paraId="785FE425" w14:textId="679E68AC" w:rsidR="00E850F7" w:rsidRPr="00B55D67" w:rsidRDefault="00E850F7" w:rsidP="00443892">
      <w:pPr>
        <w:pStyle w:val="Default"/>
        <w:spacing w:after="120"/>
        <w:jc w:val="both"/>
        <w:rPr>
          <w:sz w:val="22"/>
          <w:szCs w:val="22"/>
        </w:rPr>
      </w:pPr>
      <w:r w:rsidRPr="00662A7D">
        <w:rPr>
          <w:b/>
          <w:bCs/>
          <w:color w:val="626A1A" w:themeColor="accent3" w:themeShade="80"/>
          <w:sz w:val="22"/>
          <w:szCs w:val="22"/>
        </w:rPr>
        <w:t>1.3. Estrategias y procesos para gestionar los riesgos</w:t>
      </w:r>
    </w:p>
    <w:p w14:paraId="618D0CD0" w14:textId="77777777" w:rsidR="00DA5A7D" w:rsidRPr="00DA5A7D" w:rsidRDefault="00DA5A7D" w:rsidP="00DA5A7D">
      <w:pPr>
        <w:pStyle w:val="Default"/>
        <w:spacing w:after="120"/>
        <w:jc w:val="both"/>
      </w:pPr>
      <w:r w:rsidRPr="00DA5A7D">
        <w:t>La gestión del riesgo de crédito se sustenta en directrices concretas reflejadas en manuales y procedimientos escritos, desarrollados para aplicar los criterios previamente establecidos por el Consejo, fundamentalmente en el documento de Política de Préstamo Responsable de la Entidad, cuya última versión se aprobó en el Consejo de Administración celebrado el 31 de mayo de 2023.</w:t>
      </w:r>
    </w:p>
    <w:p w14:paraId="1939901D" w14:textId="77777777" w:rsidR="00E850F7" w:rsidRPr="00B55D67" w:rsidRDefault="00E850F7" w:rsidP="00443892">
      <w:pPr>
        <w:pStyle w:val="Default"/>
        <w:spacing w:after="120"/>
        <w:jc w:val="both"/>
        <w:rPr>
          <w:sz w:val="22"/>
          <w:szCs w:val="22"/>
        </w:rPr>
      </w:pPr>
      <w:r w:rsidRPr="00662A7D">
        <w:rPr>
          <w:sz w:val="22"/>
          <w:szCs w:val="22"/>
        </w:rPr>
        <w:t>En ellos se describe el tratamiento de las operaciones desde su inicio, que comienza con la recepción de las solicitudes de crédito, y se precisa el detalle de la información a requerir, las verificaciones y contrastes a que ésta debe someterse, y los criterios y procedimientos para analizar las operaciones, valorar la capacidad de pago de los solicitantes, y llegar a una decisión de aprobación o denegación de la operación.</w:t>
      </w:r>
      <w:r w:rsidRPr="00B55D67">
        <w:rPr>
          <w:sz w:val="22"/>
          <w:szCs w:val="22"/>
        </w:rPr>
        <w:t xml:space="preserve"> </w:t>
      </w:r>
    </w:p>
    <w:p w14:paraId="3A61FBFE" w14:textId="50ACDE99" w:rsidR="00E850F7" w:rsidRPr="00B55D67" w:rsidRDefault="00E850F7" w:rsidP="00443892">
      <w:pPr>
        <w:pStyle w:val="Default"/>
        <w:spacing w:after="120"/>
        <w:jc w:val="both"/>
        <w:rPr>
          <w:color w:val="auto"/>
          <w:sz w:val="22"/>
          <w:szCs w:val="22"/>
        </w:rPr>
      </w:pPr>
      <w:r w:rsidRPr="00B55D67">
        <w:rPr>
          <w:sz w:val="22"/>
          <w:szCs w:val="22"/>
        </w:rPr>
        <w:t>En general, la gestión del riesgo se basa en unos principios básicos que a continuación se detallan</w:t>
      </w:r>
      <w:r w:rsidR="00662A7D">
        <w:rPr>
          <w:sz w:val="22"/>
          <w:szCs w:val="22"/>
        </w:rPr>
        <w:t>:</w:t>
      </w:r>
    </w:p>
    <w:p w14:paraId="2C469DB4" w14:textId="77777777" w:rsidR="00662A7D" w:rsidRDefault="00E850F7" w:rsidP="00443892">
      <w:pPr>
        <w:pStyle w:val="Default"/>
        <w:numPr>
          <w:ilvl w:val="0"/>
          <w:numId w:val="1"/>
        </w:numPr>
        <w:spacing w:after="120"/>
        <w:jc w:val="both"/>
        <w:rPr>
          <w:color w:val="auto"/>
          <w:sz w:val="22"/>
          <w:szCs w:val="22"/>
        </w:rPr>
      </w:pPr>
      <w:r w:rsidRPr="00443892">
        <w:rPr>
          <w:i/>
          <w:iCs/>
          <w:color w:val="auto"/>
          <w:sz w:val="22"/>
          <w:szCs w:val="22"/>
          <w:u w:val="single"/>
        </w:rPr>
        <w:t>Implicación del Consejo de Administración</w:t>
      </w:r>
      <w:r w:rsidRPr="00662A7D">
        <w:rPr>
          <w:color w:val="auto"/>
          <w:sz w:val="22"/>
          <w:szCs w:val="22"/>
        </w:rPr>
        <w:t xml:space="preserve">: El Consejo de Administración como máximo órgano responsable de la gestión y control de los riesgos a los que se encuentra expuesta la Entidad, debe asegurar la existencia de políticas y procedimientos adecuados, y la disponibilidad de suficientes recursos para realizar una gestión adecuada de estos riesgos. </w:t>
      </w:r>
    </w:p>
    <w:p w14:paraId="7ADFFDDB" w14:textId="066EE126" w:rsidR="00E850F7" w:rsidRPr="00662A7D" w:rsidRDefault="00E850F7" w:rsidP="00443892">
      <w:pPr>
        <w:pStyle w:val="Default"/>
        <w:numPr>
          <w:ilvl w:val="0"/>
          <w:numId w:val="1"/>
        </w:numPr>
        <w:spacing w:after="120"/>
        <w:jc w:val="both"/>
        <w:rPr>
          <w:color w:val="auto"/>
          <w:sz w:val="22"/>
          <w:szCs w:val="22"/>
        </w:rPr>
      </w:pPr>
      <w:r w:rsidRPr="00443892">
        <w:rPr>
          <w:i/>
          <w:iCs/>
          <w:color w:val="auto"/>
          <w:sz w:val="22"/>
          <w:szCs w:val="22"/>
          <w:u w:val="single"/>
        </w:rPr>
        <w:t>Supervisión de los riesgos</w:t>
      </w:r>
      <w:r w:rsidRPr="00662A7D">
        <w:rPr>
          <w:color w:val="auto"/>
          <w:sz w:val="22"/>
          <w:szCs w:val="22"/>
        </w:rPr>
        <w:t xml:space="preserve">: Recae en la </w:t>
      </w:r>
      <w:r w:rsidR="00DA5A7D">
        <w:rPr>
          <w:color w:val="auto"/>
          <w:sz w:val="22"/>
          <w:szCs w:val="22"/>
        </w:rPr>
        <w:t>Comité de Auditoría y Riesgos</w:t>
      </w:r>
      <w:r w:rsidRPr="00662A7D">
        <w:rPr>
          <w:color w:val="auto"/>
          <w:sz w:val="22"/>
          <w:szCs w:val="22"/>
        </w:rPr>
        <w:t xml:space="preserve"> y en el Comité Operativo de Riesgos dicha supervisión, en ellos se analizarán, medirán y controlarán los riesgos a los que se encuentra expuesta la Entidad. </w:t>
      </w:r>
    </w:p>
    <w:p w14:paraId="7E1AA58D" w14:textId="77777777" w:rsidR="00E850F7" w:rsidRPr="00B55D67" w:rsidRDefault="00E850F7" w:rsidP="00443892">
      <w:pPr>
        <w:pStyle w:val="Default"/>
        <w:numPr>
          <w:ilvl w:val="0"/>
          <w:numId w:val="1"/>
        </w:numPr>
        <w:spacing w:after="120"/>
        <w:jc w:val="both"/>
        <w:rPr>
          <w:color w:val="auto"/>
          <w:sz w:val="22"/>
          <w:szCs w:val="22"/>
        </w:rPr>
      </w:pPr>
      <w:r w:rsidRPr="00443892">
        <w:rPr>
          <w:i/>
          <w:iCs/>
          <w:color w:val="auto"/>
          <w:sz w:val="22"/>
          <w:szCs w:val="22"/>
          <w:u w:val="single"/>
        </w:rPr>
        <w:t>Sistema de responsabilidades</w:t>
      </w:r>
      <w:r w:rsidRPr="00B55D67">
        <w:rPr>
          <w:color w:val="auto"/>
          <w:sz w:val="22"/>
          <w:szCs w:val="22"/>
        </w:rPr>
        <w:t xml:space="preserve">: La Entidad dispone de un sistema de responsabilidad para la aceptación de riesgos, en función del importe y tipo de riesgo. </w:t>
      </w:r>
    </w:p>
    <w:p w14:paraId="5F4E211C" w14:textId="77777777" w:rsidR="00E850F7" w:rsidRPr="00B55D67" w:rsidRDefault="00E850F7" w:rsidP="00443892">
      <w:pPr>
        <w:pStyle w:val="Default"/>
        <w:numPr>
          <w:ilvl w:val="0"/>
          <w:numId w:val="1"/>
        </w:numPr>
        <w:spacing w:after="120"/>
        <w:jc w:val="both"/>
        <w:rPr>
          <w:color w:val="auto"/>
          <w:sz w:val="22"/>
          <w:szCs w:val="22"/>
        </w:rPr>
      </w:pPr>
      <w:r w:rsidRPr="00443892">
        <w:rPr>
          <w:i/>
          <w:iCs/>
          <w:color w:val="auto"/>
          <w:sz w:val="22"/>
          <w:szCs w:val="22"/>
          <w:u w:val="single"/>
        </w:rPr>
        <w:t>Independencia de funciones</w:t>
      </w:r>
      <w:r w:rsidRPr="00B55D67">
        <w:rPr>
          <w:color w:val="auto"/>
          <w:sz w:val="22"/>
          <w:szCs w:val="22"/>
        </w:rPr>
        <w:t xml:space="preserve">: Se establecen funciones separadas de gestión y control de riesgos proporcionando independencia en la evaluación de posiciones y en el control y análisis de riesgos facilitando la integración del proceso. </w:t>
      </w:r>
    </w:p>
    <w:p w14:paraId="535917FF" w14:textId="77777777" w:rsidR="00E850F7" w:rsidRPr="00B55D67" w:rsidRDefault="00E850F7" w:rsidP="00443892">
      <w:pPr>
        <w:pStyle w:val="Default"/>
        <w:numPr>
          <w:ilvl w:val="0"/>
          <w:numId w:val="1"/>
        </w:numPr>
        <w:spacing w:after="120"/>
        <w:jc w:val="both"/>
        <w:rPr>
          <w:color w:val="auto"/>
          <w:sz w:val="22"/>
          <w:szCs w:val="22"/>
        </w:rPr>
      </w:pPr>
      <w:r w:rsidRPr="00443892">
        <w:rPr>
          <w:i/>
          <w:iCs/>
          <w:color w:val="auto"/>
          <w:sz w:val="22"/>
          <w:szCs w:val="22"/>
          <w:u w:val="single"/>
        </w:rPr>
        <w:t>Análisis, control y seguimiento del riesgo</w:t>
      </w:r>
      <w:r w:rsidRPr="00B55D67">
        <w:rPr>
          <w:color w:val="auto"/>
          <w:sz w:val="22"/>
          <w:szCs w:val="22"/>
        </w:rPr>
        <w:t xml:space="preserve">: La Entidad en aras de asegurar un riguroso cumplimiento de las políticas de riesgo y límites establecidos, dispone de procesos de análisis, control y seguimiento de riesgos relevantes a los que se encuentra expuesta. </w:t>
      </w:r>
    </w:p>
    <w:p w14:paraId="1BFA6FE6" w14:textId="77777777" w:rsidR="00E850F7" w:rsidRPr="00B55D67" w:rsidRDefault="00E850F7" w:rsidP="00443892">
      <w:pPr>
        <w:pStyle w:val="Default"/>
        <w:numPr>
          <w:ilvl w:val="0"/>
          <w:numId w:val="1"/>
        </w:numPr>
        <w:spacing w:after="120"/>
        <w:jc w:val="both"/>
        <w:rPr>
          <w:color w:val="auto"/>
          <w:sz w:val="22"/>
          <w:szCs w:val="22"/>
        </w:rPr>
      </w:pPr>
      <w:r w:rsidRPr="00443892">
        <w:rPr>
          <w:i/>
          <w:iCs/>
          <w:color w:val="auto"/>
          <w:sz w:val="22"/>
          <w:szCs w:val="22"/>
          <w:u w:val="single"/>
        </w:rPr>
        <w:lastRenderedPageBreak/>
        <w:t>Existencia de metodologías</w:t>
      </w:r>
      <w:r w:rsidRPr="00B55D67">
        <w:rPr>
          <w:color w:val="auto"/>
          <w:sz w:val="22"/>
          <w:szCs w:val="22"/>
        </w:rPr>
        <w:t xml:space="preserve">: La Entidad dispone de diversos procedimientos de obligado cumplimiento los cuales minimizan las exposiciones a los distintos riesgos. </w:t>
      </w:r>
    </w:p>
    <w:p w14:paraId="71A3915C" w14:textId="77777777" w:rsidR="00E850F7" w:rsidRPr="00B55D67" w:rsidRDefault="00E850F7" w:rsidP="00443892">
      <w:pPr>
        <w:pStyle w:val="Default"/>
        <w:numPr>
          <w:ilvl w:val="0"/>
          <w:numId w:val="1"/>
        </w:numPr>
        <w:spacing w:after="120"/>
        <w:jc w:val="both"/>
        <w:rPr>
          <w:color w:val="auto"/>
          <w:sz w:val="22"/>
          <w:szCs w:val="22"/>
        </w:rPr>
      </w:pPr>
      <w:r w:rsidRPr="00443892">
        <w:rPr>
          <w:i/>
          <w:iCs/>
          <w:color w:val="auto"/>
          <w:sz w:val="22"/>
          <w:szCs w:val="22"/>
          <w:u w:val="single"/>
        </w:rPr>
        <w:t>Sistemas de comunicación</w:t>
      </w:r>
      <w:r w:rsidRPr="00B55D67">
        <w:rPr>
          <w:color w:val="auto"/>
          <w:sz w:val="22"/>
          <w:szCs w:val="22"/>
        </w:rPr>
        <w:t xml:space="preserve">: La política y cultura de riesgos se transmite a toda la organización desde el Consejo de Administración hacia las diferentes áreas de la entidad a través del Comité Operativo de Riesgos. </w:t>
      </w:r>
    </w:p>
    <w:p w14:paraId="01B09935" w14:textId="5DFF4836" w:rsidR="00326A38" w:rsidRDefault="00E850F7" w:rsidP="00443892">
      <w:pPr>
        <w:pStyle w:val="Default"/>
        <w:spacing w:after="120"/>
        <w:jc w:val="both"/>
        <w:rPr>
          <w:color w:val="FFFFFF"/>
          <w:sz w:val="22"/>
          <w:szCs w:val="22"/>
        </w:rPr>
      </w:pPr>
      <w:r w:rsidRPr="00443892">
        <w:rPr>
          <w:i/>
          <w:iCs/>
          <w:color w:val="auto"/>
          <w:sz w:val="22"/>
          <w:szCs w:val="22"/>
          <w:u w:val="single"/>
        </w:rPr>
        <w:t>Auditoría Interna</w:t>
      </w:r>
      <w:r w:rsidRPr="00326A38">
        <w:rPr>
          <w:color w:val="auto"/>
          <w:sz w:val="22"/>
          <w:szCs w:val="22"/>
        </w:rPr>
        <w:t>: La Entidad dispone de un departamento de Auditoría Interna el cual tiene la función de velar por el cumplimiento de los distintos procedimientos de la Empresa, así como la evaluación del cumplimiento de la Política de Riesgos.</w:t>
      </w:r>
    </w:p>
    <w:p w14:paraId="5443AE3C" w14:textId="77777777" w:rsidR="00326A38" w:rsidRDefault="00E850F7" w:rsidP="00443892">
      <w:pPr>
        <w:pStyle w:val="Default"/>
        <w:spacing w:after="120"/>
        <w:jc w:val="both"/>
        <w:rPr>
          <w:b/>
          <w:bCs/>
          <w:color w:val="626A1A" w:themeColor="accent3" w:themeShade="80"/>
          <w:sz w:val="22"/>
          <w:szCs w:val="22"/>
        </w:rPr>
      </w:pPr>
      <w:r w:rsidRPr="00326A38">
        <w:rPr>
          <w:b/>
          <w:bCs/>
          <w:color w:val="626A1A" w:themeColor="accent3" w:themeShade="80"/>
          <w:sz w:val="22"/>
          <w:szCs w:val="22"/>
        </w:rPr>
        <w:t>1.4. Estructura y organización de la correspondiente función de gestión del riesgo</w:t>
      </w:r>
    </w:p>
    <w:p w14:paraId="00427EE2" w14:textId="6C9515BE" w:rsidR="00E850F7" w:rsidRPr="00326A38" w:rsidRDefault="00E850F7" w:rsidP="00443892">
      <w:pPr>
        <w:pStyle w:val="Default"/>
        <w:spacing w:after="120"/>
        <w:jc w:val="both"/>
        <w:rPr>
          <w:sz w:val="22"/>
          <w:szCs w:val="22"/>
        </w:rPr>
      </w:pPr>
      <w:r w:rsidRPr="00326A38">
        <w:rPr>
          <w:sz w:val="22"/>
          <w:szCs w:val="22"/>
        </w:rPr>
        <w:t xml:space="preserve">El desarrollo normativo de las directrices y criterios contenidos en los puntos anteriores corresponde a la </w:t>
      </w:r>
      <w:r w:rsidR="00DA5A7D">
        <w:rPr>
          <w:sz w:val="22"/>
          <w:szCs w:val="22"/>
        </w:rPr>
        <w:t>Comité de Auditoría y Riesgos</w:t>
      </w:r>
      <w:r w:rsidRPr="00326A38">
        <w:rPr>
          <w:sz w:val="22"/>
          <w:szCs w:val="22"/>
        </w:rPr>
        <w:t xml:space="preserve"> y Riesgos que se constituye en el Consejo de Administración y al Comité Operativo de Riesgos, órgano que, dependiendo de </w:t>
      </w:r>
      <w:r w:rsidR="00DA5A7D">
        <w:rPr>
          <w:sz w:val="22"/>
          <w:szCs w:val="22"/>
        </w:rPr>
        <w:t>este Comité</w:t>
      </w:r>
      <w:r w:rsidRPr="00326A38">
        <w:rPr>
          <w:sz w:val="22"/>
          <w:szCs w:val="22"/>
        </w:rPr>
        <w:t xml:space="preserve">, debe controlar el cumplimiento de las políticas y principios establecidos en este documento. </w:t>
      </w:r>
    </w:p>
    <w:p w14:paraId="1A6D827C" w14:textId="77777777" w:rsidR="00DA5A7D" w:rsidRPr="00DA5A7D" w:rsidRDefault="00DA5A7D" w:rsidP="00DA5A7D">
      <w:pPr>
        <w:pStyle w:val="Default"/>
        <w:spacing w:after="120"/>
      </w:pPr>
      <w:r w:rsidRPr="00DA5A7D">
        <w:t xml:space="preserve">La </w:t>
      </w:r>
      <w:proofErr w:type="gramStart"/>
      <w:r w:rsidRPr="00DA5A7D">
        <w:t>operativa material</w:t>
      </w:r>
      <w:proofErr w:type="gramEnd"/>
      <w:r w:rsidRPr="00DA5A7D">
        <w:t xml:space="preserve"> de tramitación, análisis y seguimiento de pagos de las operaciones se desarrollará desde el Departamento de Operaciones de la propia entidad, que desarrollará estas funciones en estrecha imbricación con esta entidad y sometida al control del Comité de Riesgos.</w:t>
      </w:r>
    </w:p>
    <w:p w14:paraId="76339819" w14:textId="77777777" w:rsidR="00DA5A7D" w:rsidRPr="00DA5A7D" w:rsidRDefault="00DA5A7D" w:rsidP="00DA5A7D">
      <w:pPr>
        <w:pStyle w:val="Default"/>
        <w:spacing w:after="120"/>
      </w:pPr>
      <w:r w:rsidRPr="00DA5A7D">
        <w:t>A continuación, se describen las funciones asignadas al Comité Auditoría y Riesgos y al Comité Operativo de Riesgos, así como las principales líneas de trabajo que debe desarrollar la Unidad de Operaciones.</w:t>
      </w:r>
    </w:p>
    <w:p w14:paraId="19A3BF9C" w14:textId="3FF81292" w:rsidR="00E850F7" w:rsidRPr="00326A38" w:rsidRDefault="00DA5A7D" w:rsidP="00443892">
      <w:pPr>
        <w:pStyle w:val="Default"/>
        <w:spacing w:after="120"/>
        <w:jc w:val="both"/>
        <w:rPr>
          <w:i/>
          <w:iCs/>
          <w:sz w:val="22"/>
          <w:szCs w:val="22"/>
          <w:u w:val="single"/>
        </w:rPr>
      </w:pPr>
      <w:r>
        <w:rPr>
          <w:i/>
          <w:iCs/>
          <w:sz w:val="22"/>
          <w:szCs w:val="22"/>
          <w:u w:val="single"/>
        </w:rPr>
        <w:t>Comité de Auditoría y Riesgos</w:t>
      </w:r>
      <w:r w:rsidR="00E850F7" w:rsidRPr="00326A38">
        <w:rPr>
          <w:i/>
          <w:iCs/>
          <w:sz w:val="22"/>
          <w:szCs w:val="22"/>
          <w:u w:val="single"/>
        </w:rPr>
        <w:t xml:space="preserve"> y Riesgos </w:t>
      </w:r>
    </w:p>
    <w:p w14:paraId="39FA76EC" w14:textId="17076D97" w:rsidR="00E850F7" w:rsidRPr="00B55D67" w:rsidRDefault="00E850F7" w:rsidP="00443892">
      <w:pPr>
        <w:pStyle w:val="Default"/>
        <w:spacing w:after="120"/>
        <w:jc w:val="both"/>
        <w:rPr>
          <w:sz w:val="22"/>
          <w:szCs w:val="22"/>
        </w:rPr>
      </w:pPr>
      <w:r w:rsidRPr="00B55D67">
        <w:rPr>
          <w:sz w:val="22"/>
          <w:szCs w:val="22"/>
        </w:rPr>
        <w:t xml:space="preserve">Corresponderá a </w:t>
      </w:r>
      <w:r w:rsidR="00DA5A7D">
        <w:rPr>
          <w:sz w:val="22"/>
          <w:szCs w:val="22"/>
        </w:rPr>
        <w:t>este Comité</w:t>
      </w:r>
      <w:r w:rsidRPr="00B55D67">
        <w:rPr>
          <w:sz w:val="22"/>
          <w:szCs w:val="22"/>
        </w:rPr>
        <w:t xml:space="preserve"> en el ámbito del control de riesgos: </w:t>
      </w:r>
    </w:p>
    <w:p w14:paraId="231AC78E" w14:textId="54632E64" w:rsidR="00326A38" w:rsidRDefault="00326A38" w:rsidP="00443892">
      <w:pPr>
        <w:pStyle w:val="Default"/>
        <w:numPr>
          <w:ilvl w:val="0"/>
          <w:numId w:val="2"/>
        </w:numPr>
        <w:spacing w:after="120"/>
        <w:jc w:val="both"/>
        <w:rPr>
          <w:sz w:val="22"/>
          <w:szCs w:val="22"/>
        </w:rPr>
      </w:pPr>
      <w:r>
        <w:rPr>
          <w:sz w:val="22"/>
          <w:szCs w:val="22"/>
        </w:rPr>
        <w:t xml:space="preserve">- </w:t>
      </w:r>
      <w:r w:rsidR="00E850F7" w:rsidRPr="00326A38">
        <w:rPr>
          <w:sz w:val="22"/>
          <w:szCs w:val="22"/>
        </w:rPr>
        <w:t xml:space="preserve">Asesorar al Consejo de Administración sobre la propensión global al riesgo, actual y futura, de la entidad y su estrategia en este ámbito, y asistirle en la vigilancia de la aplicación de esa estrategia. </w:t>
      </w:r>
    </w:p>
    <w:p w14:paraId="318FA7B4" w14:textId="77777777" w:rsidR="00326A38" w:rsidRDefault="00326A38" w:rsidP="00443892">
      <w:pPr>
        <w:pStyle w:val="Default"/>
        <w:numPr>
          <w:ilvl w:val="0"/>
          <w:numId w:val="2"/>
        </w:numPr>
        <w:spacing w:after="120"/>
        <w:jc w:val="both"/>
        <w:rPr>
          <w:sz w:val="22"/>
          <w:szCs w:val="22"/>
        </w:rPr>
      </w:pPr>
      <w:r>
        <w:rPr>
          <w:sz w:val="22"/>
          <w:szCs w:val="22"/>
        </w:rPr>
        <w:t xml:space="preserve">- </w:t>
      </w:r>
      <w:r w:rsidR="00E850F7" w:rsidRPr="00326A38">
        <w:rPr>
          <w:sz w:val="22"/>
          <w:szCs w:val="22"/>
        </w:rPr>
        <w:t xml:space="preserve">Vigilar que la política de precios de los productos ofrecidos a los clientes tenga plenamente en cuenta el modelo empresarial y la estrategia de riesgo de la entidad, y en caso de no cumplirse, presentar al Consejo de Administración un plan para subsanarla. </w:t>
      </w:r>
    </w:p>
    <w:p w14:paraId="75E6D2E6" w14:textId="1BA58C19" w:rsidR="00326A38" w:rsidRDefault="00326A38" w:rsidP="00443892">
      <w:pPr>
        <w:pStyle w:val="Default"/>
        <w:numPr>
          <w:ilvl w:val="0"/>
          <w:numId w:val="2"/>
        </w:numPr>
        <w:spacing w:after="120"/>
        <w:jc w:val="both"/>
        <w:rPr>
          <w:sz w:val="22"/>
          <w:szCs w:val="22"/>
        </w:rPr>
      </w:pPr>
      <w:r>
        <w:rPr>
          <w:sz w:val="22"/>
          <w:szCs w:val="22"/>
        </w:rPr>
        <w:t xml:space="preserve">- </w:t>
      </w:r>
      <w:r w:rsidR="00E850F7" w:rsidRPr="00326A38">
        <w:rPr>
          <w:sz w:val="22"/>
          <w:szCs w:val="22"/>
        </w:rPr>
        <w:t xml:space="preserve">Determinar, junto con el Consejo de Administración, la naturaleza, la cantidad, el formato y la frecuencia de la información sobre riesgos que deba recibir la propia </w:t>
      </w:r>
      <w:r w:rsidR="00DA5A7D">
        <w:rPr>
          <w:sz w:val="22"/>
          <w:szCs w:val="22"/>
        </w:rPr>
        <w:t>Comité</w:t>
      </w:r>
      <w:r w:rsidR="00E850F7" w:rsidRPr="00326A38">
        <w:rPr>
          <w:sz w:val="22"/>
          <w:szCs w:val="22"/>
        </w:rPr>
        <w:t xml:space="preserve"> y el Consejo de Administración. </w:t>
      </w:r>
    </w:p>
    <w:p w14:paraId="62DBE350" w14:textId="28AC6907" w:rsidR="00326A38" w:rsidRDefault="00326A38" w:rsidP="00443892">
      <w:pPr>
        <w:pStyle w:val="Default"/>
        <w:numPr>
          <w:ilvl w:val="0"/>
          <w:numId w:val="2"/>
        </w:numPr>
        <w:spacing w:after="120"/>
        <w:jc w:val="both"/>
        <w:rPr>
          <w:sz w:val="22"/>
          <w:szCs w:val="22"/>
        </w:rPr>
      </w:pPr>
      <w:r w:rsidRPr="00326A38">
        <w:rPr>
          <w:sz w:val="22"/>
          <w:szCs w:val="22"/>
        </w:rPr>
        <w:t>- Colaborar para el establecimiento de políticas y prácticas de remuneración racionales. Examinará si la política de incentivos prevista en el sistema de remuneración tiene en consideración el riesgo, el capital, la liquidez y la probabilidad y la oportunidad de los beneficios</w:t>
      </w:r>
    </w:p>
    <w:p w14:paraId="602B44BC" w14:textId="6ACBC52B" w:rsidR="00326A38" w:rsidRPr="005C4CB0" w:rsidRDefault="00326A38" w:rsidP="00443892">
      <w:pPr>
        <w:pStyle w:val="Default"/>
        <w:numPr>
          <w:ilvl w:val="0"/>
          <w:numId w:val="2"/>
        </w:numPr>
        <w:spacing w:after="120"/>
        <w:jc w:val="both"/>
        <w:rPr>
          <w:sz w:val="22"/>
          <w:szCs w:val="22"/>
        </w:rPr>
      </w:pPr>
      <w:r w:rsidRPr="00326A38">
        <w:rPr>
          <w:color w:val="auto"/>
          <w:sz w:val="22"/>
          <w:szCs w:val="22"/>
        </w:rPr>
        <w:t xml:space="preserve">La </w:t>
      </w:r>
      <w:r w:rsidR="00DA5A7D">
        <w:rPr>
          <w:color w:val="auto"/>
          <w:sz w:val="22"/>
          <w:szCs w:val="22"/>
        </w:rPr>
        <w:t>Comité de Auditoría y Riesgos</w:t>
      </w:r>
      <w:r w:rsidRPr="00326A38">
        <w:rPr>
          <w:color w:val="auto"/>
          <w:sz w:val="22"/>
          <w:szCs w:val="22"/>
        </w:rPr>
        <w:t xml:space="preserve"> y Riesgos estará integrada por un </w:t>
      </w:r>
      <w:r w:rsidR="00603F36">
        <w:rPr>
          <w:color w:val="auto"/>
          <w:sz w:val="22"/>
          <w:szCs w:val="22"/>
        </w:rPr>
        <w:t>c</w:t>
      </w:r>
      <w:r w:rsidRPr="00326A38">
        <w:rPr>
          <w:color w:val="auto"/>
          <w:sz w:val="22"/>
          <w:szCs w:val="22"/>
        </w:rPr>
        <w:t xml:space="preserve">onsejero no ejecutivo, que la presidirá, y por al menos dos miembros del Consejo de Administración </w:t>
      </w:r>
      <w:r w:rsidRPr="00326A38">
        <w:rPr>
          <w:color w:val="auto"/>
          <w:sz w:val="22"/>
          <w:szCs w:val="22"/>
        </w:rPr>
        <w:lastRenderedPageBreak/>
        <w:t xml:space="preserve">que no desempeñen funciones ejecutivas en la entidad, actuando uno de ellos como </w:t>
      </w:r>
      <w:r w:rsidR="00603F36">
        <w:rPr>
          <w:color w:val="auto"/>
          <w:sz w:val="22"/>
          <w:szCs w:val="22"/>
        </w:rPr>
        <w:t>s</w:t>
      </w:r>
      <w:r w:rsidRPr="00326A38">
        <w:rPr>
          <w:color w:val="auto"/>
          <w:sz w:val="22"/>
          <w:szCs w:val="22"/>
        </w:rPr>
        <w:t>ecretario</w:t>
      </w:r>
    </w:p>
    <w:p w14:paraId="2A963582" w14:textId="162F8FE8" w:rsidR="005C4CB0" w:rsidRPr="005C4CB0" w:rsidRDefault="005C4CB0" w:rsidP="00443892">
      <w:pPr>
        <w:pStyle w:val="Default"/>
        <w:numPr>
          <w:ilvl w:val="0"/>
          <w:numId w:val="2"/>
        </w:numPr>
        <w:spacing w:after="120"/>
        <w:jc w:val="both"/>
        <w:rPr>
          <w:sz w:val="22"/>
          <w:szCs w:val="22"/>
        </w:rPr>
      </w:pPr>
      <w:r w:rsidRPr="00B55D67">
        <w:rPr>
          <w:color w:val="auto"/>
          <w:sz w:val="22"/>
          <w:szCs w:val="22"/>
        </w:rPr>
        <w:t xml:space="preserve">Por invitación del presidente de la </w:t>
      </w:r>
      <w:r w:rsidR="00DA5A7D">
        <w:rPr>
          <w:color w:val="auto"/>
          <w:sz w:val="22"/>
          <w:szCs w:val="22"/>
        </w:rPr>
        <w:t>Comité de Auditoría y Riesgos</w:t>
      </w:r>
      <w:r w:rsidRPr="00B55D67">
        <w:rPr>
          <w:color w:val="auto"/>
          <w:sz w:val="22"/>
          <w:szCs w:val="22"/>
        </w:rPr>
        <w:t xml:space="preserve"> y Riesgos, podrá participar en sus reuniones el </w:t>
      </w:r>
      <w:r w:rsidR="00603F36">
        <w:rPr>
          <w:color w:val="auto"/>
          <w:sz w:val="22"/>
          <w:szCs w:val="22"/>
        </w:rPr>
        <w:t>r</w:t>
      </w:r>
      <w:r w:rsidRPr="00B55D67">
        <w:rPr>
          <w:color w:val="auto"/>
          <w:sz w:val="22"/>
          <w:szCs w:val="22"/>
        </w:rPr>
        <w:t xml:space="preserve">esponsable de la Unidad de Gestión de Riesgos, el </w:t>
      </w:r>
      <w:r w:rsidR="00603F36">
        <w:rPr>
          <w:color w:val="auto"/>
          <w:sz w:val="22"/>
          <w:szCs w:val="22"/>
        </w:rPr>
        <w:t>d</w:t>
      </w:r>
      <w:r w:rsidRPr="00B55D67">
        <w:rPr>
          <w:color w:val="auto"/>
          <w:sz w:val="22"/>
          <w:szCs w:val="22"/>
        </w:rPr>
        <w:t xml:space="preserve">irector </w:t>
      </w:r>
      <w:r w:rsidR="00603F36">
        <w:rPr>
          <w:color w:val="auto"/>
          <w:sz w:val="22"/>
          <w:szCs w:val="22"/>
        </w:rPr>
        <w:t>g</w:t>
      </w:r>
      <w:r w:rsidRPr="00B55D67">
        <w:rPr>
          <w:color w:val="auto"/>
          <w:sz w:val="22"/>
          <w:szCs w:val="22"/>
        </w:rPr>
        <w:t xml:space="preserve">eneral, el </w:t>
      </w:r>
      <w:r w:rsidR="00603F36">
        <w:rPr>
          <w:color w:val="auto"/>
          <w:sz w:val="22"/>
          <w:szCs w:val="22"/>
        </w:rPr>
        <w:t>d</w:t>
      </w:r>
      <w:r w:rsidRPr="00B55D67">
        <w:rPr>
          <w:color w:val="auto"/>
          <w:sz w:val="22"/>
          <w:szCs w:val="22"/>
        </w:rPr>
        <w:t xml:space="preserve">irector de </w:t>
      </w:r>
      <w:r w:rsidR="00603F36">
        <w:rPr>
          <w:color w:val="auto"/>
          <w:sz w:val="22"/>
          <w:szCs w:val="22"/>
        </w:rPr>
        <w:t>r</w:t>
      </w:r>
      <w:r w:rsidRPr="00B55D67">
        <w:rPr>
          <w:color w:val="auto"/>
          <w:sz w:val="22"/>
          <w:szCs w:val="22"/>
        </w:rPr>
        <w:t xml:space="preserve">iesgos y ocasionalmente otras personas de los departamentos afectados </w:t>
      </w:r>
      <w:r w:rsidR="00B310C2">
        <w:rPr>
          <w:color w:val="auto"/>
          <w:sz w:val="22"/>
          <w:szCs w:val="22"/>
        </w:rPr>
        <w:t>por</w:t>
      </w:r>
      <w:r w:rsidRPr="00B55D67">
        <w:rPr>
          <w:color w:val="auto"/>
          <w:sz w:val="22"/>
          <w:szCs w:val="22"/>
        </w:rPr>
        <w:t xml:space="preserve"> los asuntos a tratar</w:t>
      </w:r>
    </w:p>
    <w:p w14:paraId="0A463FE4" w14:textId="45471420" w:rsidR="0055485A" w:rsidRDefault="005C4CB0" w:rsidP="00443892">
      <w:pPr>
        <w:pStyle w:val="Default"/>
        <w:numPr>
          <w:ilvl w:val="0"/>
          <w:numId w:val="2"/>
        </w:numPr>
        <w:spacing w:after="120"/>
        <w:jc w:val="both"/>
        <w:rPr>
          <w:color w:val="auto"/>
          <w:sz w:val="22"/>
          <w:szCs w:val="22"/>
        </w:rPr>
      </w:pPr>
      <w:r w:rsidRPr="00B55D67">
        <w:rPr>
          <w:color w:val="auto"/>
          <w:sz w:val="22"/>
          <w:szCs w:val="22"/>
        </w:rPr>
        <w:t xml:space="preserve">La </w:t>
      </w:r>
      <w:r w:rsidR="00DA5A7D">
        <w:rPr>
          <w:color w:val="auto"/>
          <w:sz w:val="22"/>
          <w:szCs w:val="22"/>
        </w:rPr>
        <w:t>Comité</w:t>
      </w:r>
      <w:r w:rsidRPr="00B55D67">
        <w:rPr>
          <w:color w:val="auto"/>
          <w:sz w:val="22"/>
          <w:szCs w:val="22"/>
        </w:rPr>
        <w:t xml:space="preserve"> se reunirá siempre que sea necesario y como mínimo tres veces al año, y levantará acta de sus reuniones</w:t>
      </w:r>
    </w:p>
    <w:p w14:paraId="249B7028" w14:textId="77777777" w:rsidR="0055485A" w:rsidRDefault="0055485A">
      <w:pPr>
        <w:rPr>
          <w:rFonts w:ascii="Tahoma" w:hAnsi="Tahoma" w:cs="Tahoma"/>
          <w:kern w:val="0"/>
        </w:rPr>
      </w:pPr>
      <w:r>
        <w:br w:type="page"/>
      </w:r>
    </w:p>
    <w:p w14:paraId="566D307A" w14:textId="77777777" w:rsidR="00E850F7" w:rsidRPr="005C4CB0" w:rsidRDefault="00E850F7" w:rsidP="00443892">
      <w:pPr>
        <w:pStyle w:val="Default"/>
        <w:spacing w:after="120"/>
        <w:jc w:val="both"/>
        <w:rPr>
          <w:i/>
          <w:iCs/>
          <w:sz w:val="22"/>
          <w:szCs w:val="22"/>
          <w:u w:val="single"/>
        </w:rPr>
      </w:pPr>
      <w:r w:rsidRPr="005C4CB0">
        <w:rPr>
          <w:i/>
          <w:iCs/>
          <w:sz w:val="22"/>
          <w:szCs w:val="22"/>
          <w:u w:val="single"/>
        </w:rPr>
        <w:lastRenderedPageBreak/>
        <w:t xml:space="preserve">Comité Operativo de Riesgos </w:t>
      </w:r>
    </w:p>
    <w:p w14:paraId="7E6B126C" w14:textId="528CE876" w:rsidR="00B7632F" w:rsidRDefault="00443892" w:rsidP="00443892">
      <w:pPr>
        <w:pStyle w:val="Default"/>
        <w:numPr>
          <w:ilvl w:val="0"/>
          <w:numId w:val="3"/>
        </w:numPr>
        <w:spacing w:after="120"/>
        <w:jc w:val="both"/>
        <w:rPr>
          <w:color w:val="auto"/>
          <w:sz w:val="22"/>
          <w:szCs w:val="22"/>
        </w:rPr>
      </w:pPr>
      <w:r>
        <w:rPr>
          <w:color w:val="auto"/>
          <w:sz w:val="22"/>
          <w:szCs w:val="22"/>
        </w:rPr>
        <w:t xml:space="preserve">- </w:t>
      </w:r>
      <w:r w:rsidR="00E850F7" w:rsidRPr="00B55D67">
        <w:rPr>
          <w:color w:val="auto"/>
          <w:sz w:val="22"/>
          <w:szCs w:val="22"/>
        </w:rPr>
        <w:t xml:space="preserve">Este Comité gozará siempre de las más amplias facultades para velar por el cumplimiento de la política de riesgos crediticios de la entidad y el logro de los objetivos fijados por el Consejo. </w:t>
      </w:r>
    </w:p>
    <w:p w14:paraId="35E9A9C3" w14:textId="11AC1CE5" w:rsidR="00E850F7" w:rsidRPr="00B55D67" w:rsidRDefault="00B7632F" w:rsidP="00443892">
      <w:pPr>
        <w:pStyle w:val="Default"/>
        <w:spacing w:after="120"/>
        <w:jc w:val="both"/>
        <w:rPr>
          <w:color w:val="auto"/>
          <w:sz w:val="22"/>
          <w:szCs w:val="22"/>
        </w:rPr>
      </w:pPr>
      <w:r>
        <w:rPr>
          <w:color w:val="auto"/>
          <w:sz w:val="22"/>
          <w:szCs w:val="22"/>
        </w:rPr>
        <w:t xml:space="preserve">- </w:t>
      </w:r>
      <w:r w:rsidR="00E850F7" w:rsidRPr="00B55D67">
        <w:rPr>
          <w:color w:val="auto"/>
          <w:sz w:val="22"/>
          <w:szCs w:val="22"/>
        </w:rPr>
        <w:t xml:space="preserve">Recibirá información y ejercerá su control sobre los dictámenes sobre las operaciones, el seguimiento del riesgo vivo, la evolución de la morosidad y su recuperación, y valorará los niveles de cobertura alcanzados por los fondos de insolvencia. </w:t>
      </w:r>
    </w:p>
    <w:p w14:paraId="602277D4" w14:textId="660179F9" w:rsidR="00E850F7" w:rsidRPr="00B55D67" w:rsidRDefault="00B7632F" w:rsidP="00443892">
      <w:pPr>
        <w:pStyle w:val="Default"/>
        <w:numPr>
          <w:ilvl w:val="0"/>
          <w:numId w:val="3"/>
        </w:numPr>
        <w:spacing w:after="120"/>
        <w:jc w:val="both"/>
        <w:rPr>
          <w:color w:val="auto"/>
          <w:sz w:val="22"/>
          <w:szCs w:val="22"/>
        </w:rPr>
      </w:pPr>
      <w:r>
        <w:rPr>
          <w:color w:val="auto"/>
          <w:sz w:val="22"/>
          <w:szCs w:val="22"/>
        </w:rPr>
        <w:t xml:space="preserve">- </w:t>
      </w:r>
      <w:r w:rsidR="00E850F7" w:rsidRPr="00B55D67">
        <w:rPr>
          <w:color w:val="auto"/>
          <w:sz w:val="22"/>
          <w:szCs w:val="22"/>
        </w:rPr>
        <w:t xml:space="preserve">Aprueba los tipos de interés y tarifas máximos de las operaciones y servicios financieros, así como sus restantes condiciones contractuales. </w:t>
      </w:r>
    </w:p>
    <w:p w14:paraId="255BDFA0" w14:textId="1E104515" w:rsidR="00E850F7" w:rsidRPr="00B55D67" w:rsidRDefault="00B7632F" w:rsidP="00443892">
      <w:pPr>
        <w:pStyle w:val="Default"/>
        <w:numPr>
          <w:ilvl w:val="0"/>
          <w:numId w:val="3"/>
        </w:numPr>
        <w:spacing w:after="120"/>
        <w:jc w:val="both"/>
        <w:rPr>
          <w:color w:val="auto"/>
          <w:sz w:val="22"/>
          <w:szCs w:val="22"/>
        </w:rPr>
      </w:pPr>
      <w:r>
        <w:rPr>
          <w:color w:val="auto"/>
          <w:sz w:val="22"/>
          <w:szCs w:val="22"/>
        </w:rPr>
        <w:t xml:space="preserve">- </w:t>
      </w:r>
      <w:r w:rsidR="00E850F7" w:rsidRPr="00B55D67">
        <w:rPr>
          <w:color w:val="auto"/>
          <w:sz w:val="22"/>
          <w:szCs w:val="22"/>
        </w:rPr>
        <w:t xml:space="preserve">Aprueba los contratos que recojan acuerdos y convenios de colaboración con comercios para financiar las ventas a sus clientes, cuando no hubieran sido delegados, y en cualquier caso cuando el importe del saldo vivo de los contratos de financiación de operaciones comerciales presentadas esté previsto que excedan el importe de 300.000€. </w:t>
      </w:r>
    </w:p>
    <w:p w14:paraId="509ECE46" w14:textId="2E5CD23C" w:rsidR="00E850F7" w:rsidRPr="00B55D67" w:rsidRDefault="00B7632F" w:rsidP="00443892">
      <w:pPr>
        <w:pStyle w:val="Default"/>
        <w:numPr>
          <w:ilvl w:val="0"/>
          <w:numId w:val="3"/>
        </w:numPr>
        <w:spacing w:after="120"/>
        <w:jc w:val="both"/>
        <w:rPr>
          <w:color w:val="auto"/>
          <w:sz w:val="22"/>
          <w:szCs w:val="22"/>
        </w:rPr>
      </w:pPr>
      <w:r>
        <w:rPr>
          <w:color w:val="auto"/>
          <w:sz w:val="22"/>
          <w:szCs w:val="22"/>
        </w:rPr>
        <w:t xml:space="preserve">- </w:t>
      </w:r>
      <w:r w:rsidR="00E850F7" w:rsidRPr="00B55D67">
        <w:rPr>
          <w:color w:val="auto"/>
          <w:sz w:val="22"/>
          <w:szCs w:val="22"/>
        </w:rPr>
        <w:t xml:space="preserve">Controla la correcta clasificación de todas las operaciones de crédito, autorizando, en particular, las iniciativas planteadas por la Unidad de Operaciones sobre su clasificación y reclasificación en las distintas categorías. </w:t>
      </w:r>
    </w:p>
    <w:p w14:paraId="775C2267" w14:textId="4B1D2512" w:rsidR="00E850F7" w:rsidRPr="00B55D67" w:rsidRDefault="00B7632F" w:rsidP="00443892">
      <w:pPr>
        <w:pStyle w:val="Default"/>
        <w:numPr>
          <w:ilvl w:val="0"/>
          <w:numId w:val="3"/>
        </w:numPr>
        <w:spacing w:after="120"/>
        <w:jc w:val="both"/>
        <w:rPr>
          <w:color w:val="auto"/>
          <w:sz w:val="22"/>
          <w:szCs w:val="22"/>
        </w:rPr>
      </w:pPr>
      <w:r>
        <w:rPr>
          <w:color w:val="auto"/>
          <w:sz w:val="22"/>
          <w:szCs w:val="22"/>
        </w:rPr>
        <w:t xml:space="preserve">- </w:t>
      </w:r>
      <w:r w:rsidR="00E850F7" w:rsidRPr="00B55D67">
        <w:rPr>
          <w:color w:val="auto"/>
          <w:sz w:val="22"/>
          <w:szCs w:val="22"/>
        </w:rPr>
        <w:t xml:space="preserve">Aprueba los procedimientos de análisis de las solicitudes de financiación y los criterios para su aprobación, así como los criterios y estrategias para la recuperación de saldos y créditos morosos o excedidos. </w:t>
      </w:r>
    </w:p>
    <w:p w14:paraId="24A0B47E" w14:textId="5585FD63" w:rsidR="00E850F7" w:rsidRDefault="00B7632F" w:rsidP="00443892">
      <w:pPr>
        <w:pStyle w:val="Default"/>
        <w:numPr>
          <w:ilvl w:val="0"/>
          <w:numId w:val="3"/>
        </w:numPr>
        <w:spacing w:after="120"/>
        <w:jc w:val="both"/>
        <w:rPr>
          <w:color w:val="auto"/>
          <w:sz w:val="22"/>
          <w:szCs w:val="22"/>
        </w:rPr>
      </w:pPr>
      <w:r>
        <w:rPr>
          <w:color w:val="auto"/>
          <w:sz w:val="22"/>
          <w:szCs w:val="22"/>
        </w:rPr>
        <w:t xml:space="preserve">- </w:t>
      </w:r>
      <w:r w:rsidR="00E850F7" w:rsidRPr="00B55D67">
        <w:rPr>
          <w:color w:val="auto"/>
          <w:sz w:val="22"/>
          <w:szCs w:val="22"/>
        </w:rPr>
        <w:t xml:space="preserve">Decidirá sobre la modificación de los criterios o parametrización del scoring utilizado en el análisis de las solicitudes. </w:t>
      </w:r>
    </w:p>
    <w:p w14:paraId="7DF1A5EE" w14:textId="41D6B0CF" w:rsidR="00B7632F" w:rsidRPr="00B55D67" w:rsidRDefault="00B7632F" w:rsidP="00443892">
      <w:pPr>
        <w:pStyle w:val="Default"/>
        <w:numPr>
          <w:ilvl w:val="0"/>
          <w:numId w:val="4"/>
        </w:numPr>
        <w:spacing w:after="120"/>
        <w:jc w:val="both"/>
        <w:rPr>
          <w:color w:val="auto"/>
          <w:sz w:val="22"/>
          <w:szCs w:val="22"/>
        </w:rPr>
      </w:pPr>
      <w:r>
        <w:rPr>
          <w:color w:val="auto"/>
          <w:sz w:val="22"/>
          <w:szCs w:val="22"/>
        </w:rPr>
        <w:t>-</w:t>
      </w:r>
      <w:r w:rsidRPr="00B7632F">
        <w:rPr>
          <w:color w:val="auto"/>
          <w:sz w:val="22"/>
          <w:szCs w:val="22"/>
        </w:rPr>
        <w:t xml:space="preserve"> </w:t>
      </w:r>
      <w:r w:rsidRPr="00B55D67">
        <w:rPr>
          <w:color w:val="auto"/>
          <w:sz w:val="22"/>
          <w:szCs w:val="22"/>
        </w:rPr>
        <w:t xml:space="preserve">Siempre que la experiencia acumulada así lo aconseje, este Comité elevará a la </w:t>
      </w:r>
      <w:r w:rsidR="00DA5A7D">
        <w:rPr>
          <w:color w:val="auto"/>
          <w:sz w:val="22"/>
          <w:szCs w:val="22"/>
        </w:rPr>
        <w:t>Comité de Auditoría y Riesgos</w:t>
      </w:r>
      <w:r w:rsidRPr="00B55D67">
        <w:rPr>
          <w:color w:val="auto"/>
          <w:sz w:val="22"/>
          <w:szCs w:val="22"/>
        </w:rPr>
        <w:t xml:space="preserve"> y Riesgos o al Consejo las propuestas que considere convenientes para modificar o reorientar las políticas de riesgos de la entidad. </w:t>
      </w:r>
    </w:p>
    <w:p w14:paraId="141C2E8A" w14:textId="130B9F85" w:rsidR="00B7632F" w:rsidRPr="0055485A" w:rsidRDefault="00B7632F" w:rsidP="00443892">
      <w:pPr>
        <w:pStyle w:val="Default"/>
        <w:numPr>
          <w:ilvl w:val="0"/>
          <w:numId w:val="4"/>
        </w:numPr>
        <w:spacing w:after="120"/>
        <w:jc w:val="both"/>
        <w:rPr>
          <w:color w:val="auto"/>
          <w:sz w:val="22"/>
          <w:szCs w:val="22"/>
        </w:rPr>
      </w:pPr>
      <w:r w:rsidRPr="0055485A">
        <w:rPr>
          <w:color w:val="auto"/>
          <w:sz w:val="22"/>
          <w:szCs w:val="22"/>
        </w:rPr>
        <w:t xml:space="preserve">El Comité Operativo de Riesgos estará integrado por el </w:t>
      </w:r>
      <w:r w:rsidR="00C40EBC" w:rsidRPr="0055485A">
        <w:rPr>
          <w:color w:val="auto"/>
          <w:sz w:val="22"/>
          <w:szCs w:val="22"/>
        </w:rPr>
        <w:t>responsable</w:t>
      </w:r>
      <w:r w:rsidRPr="0055485A">
        <w:rPr>
          <w:color w:val="auto"/>
          <w:sz w:val="22"/>
          <w:szCs w:val="22"/>
        </w:rPr>
        <w:t xml:space="preserve"> de la Unidad de Gestión de Riesgos, que lo presidirá, el </w:t>
      </w:r>
      <w:r w:rsidR="00C40EBC" w:rsidRPr="0055485A">
        <w:rPr>
          <w:color w:val="auto"/>
          <w:sz w:val="22"/>
          <w:szCs w:val="22"/>
        </w:rPr>
        <w:t>director</w:t>
      </w:r>
      <w:r w:rsidRPr="0055485A">
        <w:rPr>
          <w:color w:val="auto"/>
          <w:sz w:val="22"/>
          <w:szCs w:val="22"/>
        </w:rPr>
        <w:t xml:space="preserve">/a de </w:t>
      </w:r>
      <w:r w:rsidR="00C40EBC">
        <w:rPr>
          <w:color w:val="auto"/>
          <w:sz w:val="22"/>
          <w:szCs w:val="22"/>
        </w:rPr>
        <w:t>r</w:t>
      </w:r>
      <w:r w:rsidRPr="0055485A">
        <w:rPr>
          <w:color w:val="auto"/>
          <w:sz w:val="22"/>
          <w:szCs w:val="22"/>
        </w:rPr>
        <w:t xml:space="preserve">iesgos de la entidad, que actuará como </w:t>
      </w:r>
      <w:r w:rsidR="00C40EBC" w:rsidRPr="0055485A">
        <w:rPr>
          <w:color w:val="auto"/>
          <w:sz w:val="22"/>
          <w:szCs w:val="22"/>
        </w:rPr>
        <w:t>secretario</w:t>
      </w:r>
      <w:r w:rsidRPr="0055485A">
        <w:rPr>
          <w:color w:val="auto"/>
          <w:sz w:val="22"/>
          <w:szCs w:val="22"/>
        </w:rPr>
        <w:t xml:space="preserve">/a, y el </w:t>
      </w:r>
      <w:r w:rsidR="00C40EBC" w:rsidRPr="0055485A">
        <w:rPr>
          <w:color w:val="auto"/>
          <w:sz w:val="22"/>
          <w:szCs w:val="22"/>
        </w:rPr>
        <w:t>director</w:t>
      </w:r>
      <w:r w:rsidRPr="0055485A">
        <w:rPr>
          <w:color w:val="auto"/>
          <w:sz w:val="22"/>
          <w:szCs w:val="22"/>
        </w:rPr>
        <w:t xml:space="preserve">/a </w:t>
      </w:r>
      <w:r w:rsidR="00C40EBC">
        <w:rPr>
          <w:color w:val="auto"/>
          <w:sz w:val="22"/>
          <w:szCs w:val="22"/>
        </w:rPr>
        <w:t>f</w:t>
      </w:r>
      <w:r w:rsidRPr="0055485A">
        <w:rPr>
          <w:color w:val="auto"/>
          <w:sz w:val="22"/>
          <w:szCs w:val="22"/>
        </w:rPr>
        <w:t xml:space="preserve">inanciero/a. Por invitación del </w:t>
      </w:r>
      <w:r w:rsidR="00C40EBC" w:rsidRPr="0055485A">
        <w:rPr>
          <w:color w:val="auto"/>
          <w:sz w:val="22"/>
          <w:szCs w:val="22"/>
        </w:rPr>
        <w:t>responsable</w:t>
      </w:r>
      <w:r w:rsidRPr="0055485A">
        <w:rPr>
          <w:color w:val="auto"/>
          <w:sz w:val="22"/>
          <w:szCs w:val="22"/>
        </w:rPr>
        <w:t xml:space="preserve"> de la Unidad de Gestión de Riesgos o del </w:t>
      </w:r>
      <w:r w:rsidR="00C40EBC" w:rsidRPr="0055485A">
        <w:rPr>
          <w:color w:val="auto"/>
          <w:sz w:val="22"/>
          <w:szCs w:val="22"/>
        </w:rPr>
        <w:t>director</w:t>
      </w:r>
      <w:r w:rsidRPr="0055485A">
        <w:rPr>
          <w:color w:val="auto"/>
          <w:sz w:val="22"/>
          <w:szCs w:val="22"/>
        </w:rPr>
        <w:t xml:space="preserve"> de </w:t>
      </w:r>
      <w:r w:rsidR="00C40EBC">
        <w:rPr>
          <w:color w:val="auto"/>
          <w:sz w:val="22"/>
          <w:szCs w:val="22"/>
        </w:rPr>
        <w:t>r</w:t>
      </w:r>
      <w:r w:rsidRPr="0055485A">
        <w:rPr>
          <w:color w:val="auto"/>
          <w:sz w:val="22"/>
          <w:szCs w:val="22"/>
        </w:rPr>
        <w:t xml:space="preserve">iesgos, podrán participar en sus reuniones otras personas de las áreas mencionadas, y, ocasionalmente, de cualquier otro departamento que resulte conveniente, en base a los asuntos a tratar. Así como los responsables de la unidad operativa. En lugar del </w:t>
      </w:r>
      <w:r w:rsidR="00C40EBC" w:rsidRPr="0055485A">
        <w:rPr>
          <w:color w:val="auto"/>
          <w:sz w:val="22"/>
          <w:szCs w:val="22"/>
        </w:rPr>
        <w:t>director</w:t>
      </w:r>
      <w:r w:rsidRPr="0055485A">
        <w:rPr>
          <w:color w:val="auto"/>
          <w:sz w:val="22"/>
          <w:szCs w:val="22"/>
        </w:rPr>
        <w:t xml:space="preserve">/a de </w:t>
      </w:r>
      <w:r w:rsidR="00C40EBC">
        <w:rPr>
          <w:color w:val="auto"/>
          <w:sz w:val="22"/>
          <w:szCs w:val="22"/>
        </w:rPr>
        <w:t>r</w:t>
      </w:r>
      <w:r w:rsidRPr="0055485A">
        <w:rPr>
          <w:color w:val="auto"/>
          <w:sz w:val="22"/>
          <w:szCs w:val="22"/>
        </w:rPr>
        <w:t xml:space="preserve">iesgos y el </w:t>
      </w:r>
      <w:r w:rsidR="00C40EBC" w:rsidRPr="0055485A">
        <w:rPr>
          <w:color w:val="auto"/>
          <w:sz w:val="22"/>
          <w:szCs w:val="22"/>
        </w:rPr>
        <w:t>director</w:t>
      </w:r>
      <w:r w:rsidRPr="0055485A">
        <w:rPr>
          <w:color w:val="auto"/>
          <w:sz w:val="22"/>
          <w:szCs w:val="22"/>
        </w:rPr>
        <w:t xml:space="preserve">/a </w:t>
      </w:r>
      <w:r w:rsidR="00C40EBC">
        <w:rPr>
          <w:color w:val="auto"/>
          <w:sz w:val="22"/>
          <w:szCs w:val="22"/>
        </w:rPr>
        <w:t>f</w:t>
      </w:r>
      <w:r w:rsidRPr="0055485A">
        <w:rPr>
          <w:color w:val="auto"/>
          <w:sz w:val="22"/>
          <w:szCs w:val="22"/>
        </w:rPr>
        <w:t xml:space="preserve">inanciera, podrán asistir al Comité Operativo de Riesgos aquellas personas de sus respectivas áreas a quienes se delegue esta función. </w:t>
      </w:r>
    </w:p>
    <w:p w14:paraId="1832240D" w14:textId="77777777" w:rsidR="00B7632F" w:rsidRPr="00B55D67" w:rsidRDefault="00B7632F" w:rsidP="00443892">
      <w:pPr>
        <w:pStyle w:val="Default"/>
        <w:numPr>
          <w:ilvl w:val="0"/>
          <w:numId w:val="4"/>
        </w:numPr>
        <w:spacing w:after="120"/>
        <w:jc w:val="both"/>
        <w:rPr>
          <w:color w:val="auto"/>
          <w:sz w:val="22"/>
          <w:szCs w:val="22"/>
        </w:rPr>
      </w:pPr>
      <w:r w:rsidRPr="00B55D67">
        <w:rPr>
          <w:color w:val="auto"/>
          <w:sz w:val="22"/>
          <w:szCs w:val="22"/>
        </w:rPr>
        <w:t xml:space="preserve">El Comité se reunirá siempre que sea necesario y como mínimo con carácter trimestral, y levantará acta de sus reuniones. </w:t>
      </w:r>
    </w:p>
    <w:p w14:paraId="6070049B" w14:textId="77777777" w:rsidR="00B7632F" w:rsidRPr="00B7632F" w:rsidRDefault="00B7632F" w:rsidP="00443892">
      <w:pPr>
        <w:pStyle w:val="Default"/>
        <w:spacing w:after="120"/>
        <w:jc w:val="both"/>
        <w:rPr>
          <w:i/>
          <w:iCs/>
          <w:sz w:val="22"/>
          <w:szCs w:val="22"/>
          <w:u w:val="single"/>
        </w:rPr>
      </w:pPr>
      <w:r w:rsidRPr="00B7632F">
        <w:rPr>
          <w:i/>
          <w:iCs/>
          <w:sz w:val="22"/>
          <w:szCs w:val="22"/>
          <w:u w:val="single"/>
        </w:rPr>
        <w:t xml:space="preserve">Unidad de Operaciones. </w:t>
      </w:r>
    </w:p>
    <w:p w14:paraId="446DA080" w14:textId="77777777" w:rsidR="00B7632F" w:rsidRPr="00B55D67" w:rsidRDefault="00B7632F" w:rsidP="00443892">
      <w:pPr>
        <w:pStyle w:val="Default"/>
        <w:spacing w:after="120"/>
        <w:jc w:val="both"/>
        <w:rPr>
          <w:color w:val="auto"/>
          <w:sz w:val="22"/>
          <w:szCs w:val="22"/>
        </w:rPr>
      </w:pPr>
      <w:r w:rsidRPr="00B55D67">
        <w:rPr>
          <w:color w:val="auto"/>
          <w:sz w:val="22"/>
          <w:szCs w:val="22"/>
        </w:rPr>
        <w:t xml:space="preserve">La Unidad Operativa desarrollará aquellas tareas que le encargue la entidad siguiendo los criterios y procedimientos definidos por la misma, quién pondrá a su disposición las aplicaciones necesarias para desarrollar dichas funciones con la mayor seguridad y control. Esto permitirá que desde la propia entidad pueda hacerse seguimiento de los indicadores en tiempo real y se disponga de toda la información de forma ágil y segura. </w:t>
      </w:r>
    </w:p>
    <w:p w14:paraId="3CB32172" w14:textId="77777777" w:rsidR="00B7632F" w:rsidRPr="00B55D67" w:rsidRDefault="00B7632F" w:rsidP="00443892">
      <w:pPr>
        <w:pStyle w:val="Default"/>
        <w:spacing w:after="120"/>
        <w:jc w:val="both"/>
        <w:rPr>
          <w:color w:val="auto"/>
          <w:sz w:val="22"/>
          <w:szCs w:val="22"/>
        </w:rPr>
      </w:pPr>
      <w:r w:rsidRPr="00B55D67">
        <w:rPr>
          <w:color w:val="auto"/>
          <w:sz w:val="22"/>
          <w:szCs w:val="22"/>
        </w:rPr>
        <w:lastRenderedPageBreak/>
        <w:t xml:space="preserve">Entre las principales funciones que se le podrán encomendar a la unidad operativa destacan: </w:t>
      </w:r>
    </w:p>
    <w:p w14:paraId="3F16EF2D" w14:textId="7865C64B" w:rsidR="00B7632F" w:rsidRPr="00B55D67" w:rsidRDefault="00B7632F" w:rsidP="00443892">
      <w:pPr>
        <w:pStyle w:val="Default"/>
        <w:numPr>
          <w:ilvl w:val="0"/>
          <w:numId w:val="3"/>
        </w:numPr>
        <w:jc w:val="both"/>
        <w:rPr>
          <w:color w:val="auto"/>
          <w:sz w:val="22"/>
          <w:szCs w:val="22"/>
        </w:rPr>
      </w:pPr>
      <w:r>
        <w:rPr>
          <w:color w:val="auto"/>
          <w:sz w:val="22"/>
          <w:szCs w:val="22"/>
        </w:rPr>
        <w:t xml:space="preserve">- </w:t>
      </w:r>
      <w:r w:rsidRPr="00B55D67">
        <w:rPr>
          <w:color w:val="auto"/>
          <w:sz w:val="22"/>
          <w:szCs w:val="22"/>
        </w:rPr>
        <w:t xml:space="preserve">Recepción de comunicaciones (escritas y/u orales) de los clientes y tramitación de </w:t>
      </w:r>
      <w:r w:rsidR="00C40EBC" w:rsidRPr="00B55D67">
        <w:rPr>
          <w:color w:val="auto"/>
          <w:sz w:val="22"/>
          <w:szCs w:val="22"/>
        </w:rPr>
        <w:t>estas</w:t>
      </w:r>
      <w:r w:rsidRPr="00B55D67">
        <w:rPr>
          <w:color w:val="auto"/>
          <w:sz w:val="22"/>
          <w:szCs w:val="22"/>
        </w:rPr>
        <w:t xml:space="preserve">. La Unidad será la encargada de facilitar información sobre los productos que se comercialicen, así como de los pasos a seguir para la contratación de la financiación. </w:t>
      </w:r>
    </w:p>
    <w:p w14:paraId="54AF61BE" w14:textId="3A34D319" w:rsidR="00E850F7" w:rsidRPr="00B7632F" w:rsidRDefault="00B7632F" w:rsidP="00443892">
      <w:pPr>
        <w:pStyle w:val="Default"/>
        <w:numPr>
          <w:ilvl w:val="0"/>
          <w:numId w:val="6"/>
        </w:numPr>
        <w:spacing w:after="120"/>
        <w:jc w:val="both"/>
        <w:rPr>
          <w:color w:val="auto"/>
          <w:sz w:val="22"/>
          <w:szCs w:val="22"/>
        </w:rPr>
      </w:pPr>
      <w:r>
        <w:rPr>
          <w:color w:val="auto"/>
          <w:sz w:val="22"/>
          <w:szCs w:val="22"/>
        </w:rPr>
        <w:t xml:space="preserve">- </w:t>
      </w:r>
      <w:r w:rsidR="00E850F7" w:rsidRPr="00B55D67">
        <w:rPr>
          <w:color w:val="auto"/>
          <w:sz w:val="22"/>
          <w:szCs w:val="22"/>
        </w:rPr>
        <w:t xml:space="preserve">Tramitación de solicitudes de financiación. La Unidad se encargará de dar de alta en el sistema dichas solicitudes, así como de verificar que cumplen los requisitos de información y documentación definidos para cada producto. </w:t>
      </w:r>
    </w:p>
    <w:p w14:paraId="67458DB0" w14:textId="1D531CBB" w:rsidR="00E850F7" w:rsidRPr="00B55D67" w:rsidRDefault="00B7632F" w:rsidP="00443892">
      <w:pPr>
        <w:pStyle w:val="Default"/>
        <w:numPr>
          <w:ilvl w:val="0"/>
          <w:numId w:val="7"/>
        </w:numPr>
        <w:spacing w:after="120"/>
        <w:jc w:val="both"/>
        <w:rPr>
          <w:color w:val="auto"/>
          <w:sz w:val="22"/>
          <w:szCs w:val="22"/>
        </w:rPr>
      </w:pPr>
      <w:r>
        <w:rPr>
          <w:color w:val="auto"/>
          <w:sz w:val="22"/>
          <w:szCs w:val="22"/>
        </w:rPr>
        <w:t xml:space="preserve">- </w:t>
      </w:r>
      <w:r w:rsidR="00E850F7" w:rsidRPr="00B55D67">
        <w:rPr>
          <w:color w:val="auto"/>
          <w:sz w:val="22"/>
          <w:szCs w:val="22"/>
        </w:rPr>
        <w:t xml:space="preserve">Análisis de solicitudes de crédito y préstamo, y propuesta de aceptación o denegación, emitiendo un dictamen de dichas operaciones hasta un importe máximo inicial de 6.000 euros para la generalidad de los productos pudiendo alcanzar un máximo inicial de 18.000 euros para aquellos productos que la entidad decida en base al riesgo de </w:t>
      </w:r>
      <w:proofErr w:type="gramStart"/>
      <w:r w:rsidR="00E850F7" w:rsidRPr="00B55D67">
        <w:rPr>
          <w:color w:val="auto"/>
          <w:sz w:val="22"/>
          <w:szCs w:val="22"/>
        </w:rPr>
        <w:t>los mismos</w:t>
      </w:r>
      <w:proofErr w:type="gramEnd"/>
      <w:r w:rsidR="00E850F7" w:rsidRPr="00B55D67">
        <w:rPr>
          <w:color w:val="auto"/>
          <w:sz w:val="22"/>
          <w:szCs w:val="22"/>
        </w:rPr>
        <w:t xml:space="preserve">. En un momento posterior a la apertura del crédito, después de la verificación de la calidad del riesgo, esta Unidad, a petición del cliente o propuesta de la entidad, podrá aceptar incrementos del límite de crédito hasta un máximo de 18.000 € por contrato. Las operaciones aceptadas se presentarán diariamente al </w:t>
      </w:r>
      <w:r w:rsidR="00C40EBC" w:rsidRPr="00B55D67">
        <w:rPr>
          <w:color w:val="auto"/>
          <w:sz w:val="22"/>
          <w:szCs w:val="22"/>
        </w:rPr>
        <w:t>director</w:t>
      </w:r>
      <w:r w:rsidR="00E850F7" w:rsidRPr="00B55D67">
        <w:rPr>
          <w:color w:val="auto"/>
          <w:sz w:val="22"/>
          <w:szCs w:val="22"/>
        </w:rPr>
        <w:t xml:space="preserve">/a </w:t>
      </w:r>
      <w:r w:rsidR="00C40EBC">
        <w:rPr>
          <w:color w:val="auto"/>
          <w:sz w:val="22"/>
          <w:szCs w:val="22"/>
        </w:rPr>
        <w:t>f</w:t>
      </w:r>
      <w:r w:rsidR="00E850F7" w:rsidRPr="00B55D67">
        <w:rPr>
          <w:color w:val="auto"/>
          <w:sz w:val="22"/>
          <w:szCs w:val="22"/>
        </w:rPr>
        <w:t xml:space="preserve">inanciero/a para su aceptación. </w:t>
      </w:r>
    </w:p>
    <w:p w14:paraId="6F91AB90" w14:textId="033C7E1F" w:rsidR="00E850F7" w:rsidRPr="00B55D67" w:rsidRDefault="00B7632F" w:rsidP="00443892">
      <w:pPr>
        <w:pStyle w:val="Default"/>
        <w:numPr>
          <w:ilvl w:val="0"/>
          <w:numId w:val="8"/>
        </w:numPr>
        <w:spacing w:after="120"/>
        <w:jc w:val="both"/>
        <w:rPr>
          <w:color w:val="auto"/>
          <w:sz w:val="22"/>
          <w:szCs w:val="22"/>
        </w:rPr>
      </w:pPr>
      <w:r>
        <w:rPr>
          <w:color w:val="auto"/>
          <w:sz w:val="22"/>
          <w:szCs w:val="22"/>
        </w:rPr>
        <w:t xml:space="preserve">- </w:t>
      </w:r>
      <w:r w:rsidR="00E850F7" w:rsidRPr="00B55D67">
        <w:rPr>
          <w:color w:val="auto"/>
          <w:sz w:val="22"/>
          <w:szCs w:val="22"/>
        </w:rPr>
        <w:t xml:space="preserve">Sobre las operaciones concedidas, la Unidad de Operaciones tendrá facultades para, dentro de los límites de sus competencias y siguiendo los criterios que tenga establecidos, conceder aplazamientos de pago, carencias o nuevas disposiciones, modificar el importe de las cuotas de pago, bloquear y desbloquear una cuenta de crédito en situaciones de impago presente o reciente e identificar las operaciones que deben estar sometidas a un régimen de seguimiento especial; igualmente, en el marco de las acciones tendentes a la recuperación de la morosidad, podrá llegar a acuerdos individuales de pago. </w:t>
      </w:r>
    </w:p>
    <w:p w14:paraId="50C30900" w14:textId="001C92DA" w:rsidR="00443892" w:rsidRDefault="00B7632F" w:rsidP="00443892">
      <w:pPr>
        <w:pStyle w:val="Default"/>
        <w:numPr>
          <w:ilvl w:val="0"/>
          <w:numId w:val="11"/>
        </w:numPr>
        <w:spacing w:after="120"/>
        <w:jc w:val="both"/>
        <w:rPr>
          <w:color w:val="auto"/>
          <w:sz w:val="22"/>
          <w:szCs w:val="22"/>
        </w:rPr>
      </w:pPr>
      <w:r w:rsidRPr="00B7632F">
        <w:rPr>
          <w:color w:val="auto"/>
          <w:sz w:val="22"/>
          <w:szCs w:val="22"/>
        </w:rPr>
        <w:t xml:space="preserve">- </w:t>
      </w:r>
      <w:r w:rsidR="00E850F7" w:rsidRPr="00B7632F">
        <w:rPr>
          <w:color w:val="auto"/>
          <w:sz w:val="22"/>
          <w:szCs w:val="22"/>
        </w:rPr>
        <w:t xml:space="preserve">Planteará iniciativas y propuestas de carácter general, basadas en la experiencia que debe extraer de su conocimiento de la actividad crediticia de la entidad. Estas propuestas, dirigidas al Comité Operativo de Riesgos, irán orientadas a facilitar a dicho órgano la ejecución de sus funciones y las decisiones que le corresponde adoptar o, en su caso, elevar a la </w:t>
      </w:r>
      <w:r w:rsidR="00DA5A7D">
        <w:rPr>
          <w:color w:val="auto"/>
          <w:sz w:val="22"/>
          <w:szCs w:val="22"/>
        </w:rPr>
        <w:t>Comité de Auditoría y Riesgos</w:t>
      </w:r>
      <w:r w:rsidR="00E850F7" w:rsidRPr="00B7632F">
        <w:rPr>
          <w:color w:val="auto"/>
          <w:sz w:val="22"/>
          <w:szCs w:val="22"/>
        </w:rPr>
        <w:t xml:space="preserve"> y Riesgos o al Consejo de Administración, y podrán referirse a: </w:t>
      </w:r>
    </w:p>
    <w:p w14:paraId="0063DC87" w14:textId="77777777" w:rsidR="00443892" w:rsidRDefault="00443892" w:rsidP="00443892">
      <w:pPr>
        <w:pStyle w:val="Default"/>
        <w:numPr>
          <w:ilvl w:val="0"/>
          <w:numId w:val="11"/>
        </w:numPr>
        <w:spacing w:after="120"/>
        <w:jc w:val="both"/>
        <w:rPr>
          <w:color w:val="auto"/>
          <w:sz w:val="22"/>
          <w:szCs w:val="22"/>
        </w:rPr>
      </w:pPr>
      <w:r>
        <w:rPr>
          <w:color w:val="auto"/>
          <w:sz w:val="22"/>
          <w:szCs w:val="22"/>
        </w:rPr>
        <w:t xml:space="preserve">a) </w:t>
      </w:r>
      <w:r w:rsidR="00E850F7" w:rsidRPr="00443892">
        <w:rPr>
          <w:color w:val="auto"/>
          <w:sz w:val="22"/>
          <w:szCs w:val="22"/>
        </w:rPr>
        <w:t>mejoras en los filtros para el proceso de selección de riesgos, incluidos los criterios que deben incluir los modelos de scoring y su parametrización</w:t>
      </w:r>
    </w:p>
    <w:p w14:paraId="0A8FB033" w14:textId="77777777" w:rsidR="00443892" w:rsidRDefault="00443892" w:rsidP="00443892">
      <w:pPr>
        <w:pStyle w:val="Default"/>
        <w:numPr>
          <w:ilvl w:val="0"/>
          <w:numId w:val="11"/>
        </w:numPr>
        <w:spacing w:after="120"/>
        <w:jc w:val="both"/>
        <w:rPr>
          <w:color w:val="auto"/>
          <w:sz w:val="22"/>
          <w:szCs w:val="22"/>
        </w:rPr>
      </w:pPr>
      <w:r>
        <w:rPr>
          <w:color w:val="auto"/>
          <w:sz w:val="22"/>
          <w:szCs w:val="22"/>
        </w:rPr>
        <w:t xml:space="preserve">b) </w:t>
      </w:r>
      <w:r w:rsidR="00E850F7" w:rsidRPr="00443892">
        <w:rPr>
          <w:color w:val="auto"/>
          <w:sz w:val="22"/>
          <w:szCs w:val="22"/>
        </w:rPr>
        <w:t>valoración y, en su caso, propuestas de revisión de las estrategias y procesos de recuperación de la morosidad</w:t>
      </w:r>
    </w:p>
    <w:p w14:paraId="41B4A34E" w14:textId="24DE321F" w:rsidR="00E850F7" w:rsidRPr="00443892" w:rsidRDefault="00443892" w:rsidP="00443892">
      <w:pPr>
        <w:pStyle w:val="Default"/>
        <w:numPr>
          <w:ilvl w:val="0"/>
          <w:numId w:val="11"/>
        </w:numPr>
        <w:spacing w:after="120"/>
        <w:jc w:val="both"/>
        <w:rPr>
          <w:color w:val="auto"/>
          <w:sz w:val="22"/>
          <w:szCs w:val="22"/>
        </w:rPr>
      </w:pPr>
      <w:r>
        <w:rPr>
          <w:color w:val="auto"/>
          <w:sz w:val="22"/>
          <w:szCs w:val="22"/>
        </w:rPr>
        <w:t xml:space="preserve">c) </w:t>
      </w:r>
      <w:r w:rsidR="00E850F7" w:rsidRPr="00443892">
        <w:rPr>
          <w:color w:val="auto"/>
          <w:sz w:val="22"/>
          <w:szCs w:val="22"/>
        </w:rPr>
        <w:t xml:space="preserve">posibles modificaciones en las características de los productos ofertados o la orientación de las políticas de inversión crediticia, oferta de nuevos productos, y, en general, en todo aquello que favorezca la utilización efectiva de la experiencia acumulada en el área. </w:t>
      </w:r>
    </w:p>
    <w:p w14:paraId="49E9B69C" w14:textId="7A2A8538" w:rsidR="00E850F7" w:rsidRPr="00B55D67" w:rsidRDefault="00443892" w:rsidP="00443892">
      <w:pPr>
        <w:pStyle w:val="Default"/>
        <w:numPr>
          <w:ilvl w:val="0"/>
          <w:numId w:val="11"/>
        </w:numPr>
        <w:spacing w:after="120"/>
        <w:jc w:val="both"/>
        <w:rPr>
          <w:color w:val="auto"/>
          <w:sz w:val="22"/>
          <w:szCs w:val="22"/>
        </w:rPr>
      </w:pPr>
      <w:r>
        <w:rPr>
          <w:color w:val="auto"/>
          <w:sz w:val="22"/>
          <w:szCs w:val="22"/>
        </w:rPr>
        <w:t>d) s</w:t>
      </w:r>
      <w:r w:rsidR="00E850F7" w:rsidRPr="00B55D67">
        <w:rPr>
          <w:color w:val="auto"/>
          <w:sz w:val="22"/>
          <w:szCs w:val="22"/>
        </w:rPr>
        <w:t xml:space="preserve">eguimiento de las operaciones aprobadas individualmente con criterios distintos a las reglas objetivas del sistema de concesión de la entidad. </w:t>
      </w:r>
    </w:p>
    <w:p w14:paraId="36C61FA0" w14:textId="49E9901A" w:rsidR="00E850F7" w:rsidRPr="00B55D67" w:rsidRDefault="00E850F7" w:rsidP="00443892">
      <w:pPr>
        <w:pStyle w:val="Default"/>
        <w:spacing w:after="120"/>
        <w:jc w:val="both"/>
        <w:rPr>
          <w:color w:val="auto"/>
          <w:sz w:val="22"/>
          <w:szCs w:val="22"/>
        </w:rPr>
      </w:pPr>
      <w:r w:rsidRPr="00B55D67">
        <w:rPr>
          <w:color w:val="auto"/>
          <w:sz w:val="22"/>
          <w:szCs w:val="22"/>
        </w:rPr>
        <w:t xml:space="preserve">Además, a instancias del Comité Operativo de Riesgos, desarrollará los trabajos e informes que éste le encomiende para tratar de conseguir que la clasificación contable </w:t>
      </w:r>
      <w:r w:rsidRPr="00B55D67">
        <w:rPr>
          <w:color w:val="auto"/>
          <w:sz w:val="22"/>
          <w:szCs w:val="22"/>
        </w:rPr>
        <w:lastRenderedPageBreak/>
        <w:t xml:space="preserve">de las operaciones sea en todo momento la adecuada para reflejar los distintos niveles de riesgo que puede contener la cartera de crédito, con especial atención a los posibles deterioros de riesgo que no se prestan a un tratamiento informático automatizado. Con esta finalidad, la Unidad someterá al Comité Operativo de Riesgos las propuestas de clasificación y reclasificación de operaciones que considere necesarias. </w:t>
      </w:r>
    </w:p>
    <w:p w14:paraId="69B7FCE3" w14:textId="2A3B630F" w:rsidR="00E850F7" w:rsidRDefault="00E850F7" w:rsidP="00443892">
      <w:pPr>
        <w:pStyle w:val="Default"/>
        <w:spacing w:after="120"/>
        <w:jc w:val="both"/>
        <w:rPr>
          <w:color w:val="auto"/>
          <w:sz w:val="22"/>
          <w:szCs w:val="22"/>
        </w:rPr>
      </w:pPr>
      <w:r w:rsidRPr="00B55D67">
        <w:rPr>
          <w:color w:val="auto"/>
          <w:sz w:val="22"/>
          <w:szCs w:val="22"/>
        </w:rPr>
        <w:t xml:space="preserve">Con el fin de adaptarse a las necesidades de los clientes, la normativa vigente y el mercado al que se dirige, la entidad, adaptará sus sistemas de tal forma que se cuente </w:t>
      </w:r>
      <w:r w:rsidR="0055485A">
        <w:rPr>
          <w:color w:val="auto"/>
          <w:sz w:val="22"/>
          <w:szCs w:val="22"/>
        </w:rPr>
        <w:t>c</w:t>
      </w:r>
      <w:r w:rsidRPr="00B55D67">
        <w:rPr>
          <w:color w:val="auto"/>
          <w:sz w:val="22"/>
          <w:szCs w:val="22"/>
        </w:rPr>
        <w:t xml:space="preserve">on procesos más eficientes. Todo ello asegurando un mayor control y seguimiento de las operaciones. </w:t>
      </w:r>
    </w:p>
    <w:p w14:paraId="6D50E1D0" w14:textId="77777777" w:rsidR="00443892" w:rsidRPr="00B55D67" w:rsidRDefault="00443892" w:rsidP="00443892">
      <w:pPr>
        <w:pStyle w:val="Default"/>
        <w:spacing w:after="120"/>
        <w:jc w:val="both"/>
        <w:rPr>
          <w:color w:val="auto"/>
          <w:sz w:val="22"/>
          <w:szCs w:val="22"/>
        </w:rPr>
      </w:pPr>
    </w:p>
    <w:p w14:paraId="526D8068" w14:textId="77777777" w:rsidR="00E850F7" w:rsidRPr="00443892" w:rsidRDefault="00E850F7" w:rsidP="00443892">
      <w:pPr>
        <w:pStyle w:val="Default"/>
        <w:spacing w:after="120"/>
        <w:jc w:val="both"/>
        <w:rPr>
          <w:color w:val="626A1A" w:themeColor="accent3" w:themeShade="80"/>
          <w:sz w:val="22"/>
          <w:szCs w:val="22"/>
        </w:rPr>
      </w:pPr>
      <w:r w:rsidRPr="00443892">
        <w:rPr>
          <w:b/>
          <w:bCs/>
          <w:color w:val="626A1A" w:themeColor="accent3" w:themeShade="80"/>
          <w:sz w:val="22"/>
          <w:szCs w:val="22"/>
        </w:rPr>
        <w:t xml:space="preserve">1.4.1 Delegación de funciones </w:t>
      </w:r>
    </w:p>
    <w:p w14:paraId="4DE3FDDB" w14:textId="1D1B74DC" w:rsidR="00E850F7" w:rsidRPr="00B55D67" w:rsidRDefault="00E850F7" w:rsidP="00443892">
      <w:pPr>
        <w:pStyle w:val="Default"/>
        <w:spacing w:after="120"/>
        <w:jc w:val="both"/>
        <w:rPr>
          <w:sz w:val="22"/>
          <w:szCs w:val="22"/>
        </w:rPr>
      </w:pPr>
      <w:r w:rsidRPr="00B55D67">
        <w:rPr>
          <w:sz w:val="22"/>
          <w:szCs w:val="22"/>
        </w:rPr>
        <w:t xml:space="preserve">El desarrollo normativo de las directrices y criterios contenidos en los puntos anteriores corresponde a la </w:t>
      </w:r>
      <w:r w:rsidR="00DA5A7D">
        <w:rPr>
          <w:sz w:val="22"/>
          <w:szCs w:val="22"/>
        </w:rPr>
        <w:t>Comité de Auditoría y Riesgos</w:t>
      </w:r>
      <w:r w:rsidRPr="00B55D67">
        <w:rPr>
          <w:sz w:val="22"/>
          <w:szCs w:val="22"/>
        </w:rPr>
        <w:t xml:space="preserve"> y Riesgos que se constituye en el Consejo de Administración y al Comité Operativo de Riesgos, órgano que, dependiendo de </w:t>
      </w:r>
      <w:r w:rsidR="00DA5A7D">
        <w:rPr>
          <w:sz w:val="22"/>
          <w:szCs w:val="22"/>
        </w:rPr>
        <w:t>este Comité</w:t>
      </w:r>
      <w:r w:rsidRPr="00B55D67">
        <w:rPr>
          <w:sz w:val="22"/>
          <w:szCs w:val="22"/>
        </w:rPr>
        <w:t xml:space="preserve">, debe controlar el cumplimiento de las políticas y principios establecidos en este documento. </w:t>
      </w:r>
    </w:p>
    <w:p w14:paraId="0393C09F" w14:textId="6C2B3FFF" w:rsidR="00E850F7" w:rsidRPr="00B55D67" w:rsidRDefault="00E850F7" w:rsidP="00443892">
      <w:pPr>
        <w:pStyle w:val="Default"/>
        <w:spacing w:after="120"/>
        <w:jc w:val="both"/>
        <w:rPr>
          <w:color w:val="auto"/>
          <w:sz w:val="22"/>
          <w:szCs w:val="22"/>
        </w:rPr>
      </w:pPr>
      <w:r w:rsidRPr="00DA5A7D">
        <w:rPr>
          <w:sz w:val="22"/>
          <w:szCs w:val="22"/>
        </w:rPr>
        <w:t xml:space="preserve">La operativa de tramitación, análisis y seguimiento de pagos de las operaciones se desarrollará desde </w:t>
      </w:r>
      <w:r w:rsidR="00DA5A7D" w:rsidRPr="00DA5A7D">
        <w:rPr>
          <w:sz w:val="22"/>
          <w:szCs w:val="22"/>
        </w:rPr>
        <w:t>el departamento de operaciones</w:t>
      </w:r>
      <w:r w:rsidRPr="00DA5A7D">
        <w:rPr>
          <w:sz w:val="22"/>
          <w:szCs w:val="22"/>
        </w:rPr>
        <w:t>, que desarrollará estas funciones en estrecha imbricación con esta entidad y sometida al control del Comité Operativo de Riesgos.</w:t>
      </w:r>
      <w:r w:rsidRPr="00B55D67">
        <w:rPr>
          <w:sz w:val="22"/>
          <w:szCs w:val="22"/>
        </w:rPr>
        <w:t xml:space="preserve"> </w:t>
      </w:r>
    </w:p>
    <w:p w14:paraId="565142E4" w14:textId="77777777" w:rsidR="00E850F7" w:rsidRPr="00443892" w:rsidRDefault="00E850F7" w:rsidP="00443892">
      <w:pPr>
        <w:pStyle w:val="Default"/>
        <w:spacing w:after="120"/>
        <w:jc w:val="both"/>
        <w:rPr>
          <w:color w:val="626A1A" w:themeColor="accent3" w:themeShade="80"/>
          <w:sz w:val="22"/>
          <w:szCs w:val="22"/>
        </w:rPr>
      </w:pPr>
      <w:r w:rsidRPr="00443892">
        <w:rPr>
          <w:b/>
          <w:bCs/>
          <w:color w:val="626A1A" w:themeColor="accent3" w:themeShade="80"/>
          <w:sz w:val="22"/>
          <w:szCs w:val="22"/>
        </w:rPr>
        <w:t xml:space="preserve">1.5. Alcance y naturaleza de los sistemas de medición y de información de los riesgos. </w:t>
      </w:r>
    </w:p>
    <w:p w14:paraId="78CC871B" w14:textId="77777777" w:rsidR="00E850F7" w:rsidRPr="00B55D67" w:rsidRDefault="00E850F7" w:rsidP="00443892">
      <w:pPr>
        <w:pStyle w:val="Default"/>
        <w:spacing w:after="120"/>
        <w:jc w:val="both"/>
        <w:rPr>
          <w:sz w:val="22"/>
          <w:szCs w:val="22"/>
        </w:rPr>
      </w:pPr>
      <w:r w:rsidRPr="00B55D67">
        <w:rPr>
          <w:sz w:val="22"/>
          <w:szCs w:val="22"/>
        </w:rPr>
        <w:t xml:space="preserve">La entidad deberá disponer de informes e indicadores clave de gestión para identificar los parámetros críticos de su riesgo crediticio. Estos deberán ser suficientes para ejercer un seguimiento y control continuados de la actividad, ofrecer alertas respecto al cumplimiento de objetivos y presupuestos, y facilitar la inmediata reacción ante cualquier aspecto que requiera la intervención de la dirección de la entidad. </w:t>
      </w:r>
    </w:p>
    <w:p w14:paraId="59681C08" w14:textId="5C9D28CD" w:rsidR="00E850F7" w:rsidRPr="00B55D67" w:rsidRDefault="00E850F7" w:rsidP="00443892">
      <w:pPr>
        <w:pStyle w:val="Default"/>
        <w:spacing w:after="120"/>
        <w:jc w:val="both"/>
        <w:rPr>
          <w:sz w:val="22"/>
          <w:szCs w:val="22"/>
        </w:rPr>
      </w:pPr>
      <w:r w:rsidRPr="00B55D67">
        <w:rPr>
          <w:sz w:val="22"/>
          <w:szCs w:val="22"/>
        </w:rPr>
        <w:t xml:space="preserve">La información facilitada al Consejo de Administración y a la </w:t>
      </w:r>
      <w:r w:rsidR="00DA5A7D">
        <w:rPr>
          <w:sz w:val="22"/>
          <w:szCs w:val="22"/>
        </w:rPr>
        <w:t>Comité de Auditoría y Riesgos</w:t>
      </w:r>
      <w:r w:rsidRPr="00B55D67">
        <w:rPr>
          <w:sz w:val="22"/>
          <w:szCs w:val="22"/>
        </w:rPr>
        <w:t xml:space="preserve"> y Riesgos incluirá los elementos necesarios para que este órgano pueda valorar adecuadamente la calidad del riesgo de su cartera de crédito, las modificaciones sufridas en la clasificación de operaciones, las características de su morosidad, la evolución de las dotaciones para insolvencias, y la capacidad y ritmo de recuperación de los impagos. </w:t>
      </w:r>
    </w:p>
    <w:p w14:paraId="0A083740" w14:textId="77777777" w:rsidR="00E850F7" w:rsidRPr="00443892" w:rsidRDefault="00E850F7" w:rsidP="00443892">
      <w:pPr>
        <w:pStyle w:val="Default"/>
        <w:spacing w:after="120"/>
        <w:jc w:val="both"/>
        <w:rPr>
          <w:color w:val="626A1A" w:themeColor="accent3" w:themeShade="80"/>
          <w:sz w:val="22"/>
          <w:szCs w:val="22"/>
        </w:rPr>
      </w:pPr>
      <w:r w:rsidRPr="00443892">
        <w:rPr>
          <w:b/>
          <w:bCs/>
          <w:color w:val="626A1A" w:themeColor="accent3" w:themeShade="80"/>
          <w:sz w:val="22"/>
          <w:szCs w:val="22"/>
        </w:rPr>
        <w:t xml:space="preserve">1.6. Políticas de cobertura y reducción del riesgo. Estrategias y procesos de supervisión. </w:t>
      </w:r>
    </w:p>
    <w:p w14:paraId="6C224B59" w14:textId="52F3CE51" w:rsidR="00E850F7" w:rsidRPr="00B55D67" w:rsidRDefault="00E850F7" w:rsidP="00443892">
      <w:pPr>
        <w:pStyle w:val="Default"/>
        <w:jc w:val="both"/>
        <w:rPr>
          <w:color w:val="auto"/>
          <w:sz w:val="22"/>
          <w:szCs w:val="22"/>
        </w:rPr>
      </w:pPr>
      <w:r w:rsidRPr="00B55D67">
        <w:rPr>
          <w:sz w:val="22"/>
          <w:szCs w:val="22"/>
        </w:rPr>
        <w:t xml:space="preserve">La Entidad cuenta con una Política de Riesgo de Crédito, aprobada por el Consejo, de obligado cumplimiento por toda la Entidad. La Entidad también ha creado diversos procedimientos los cuales marcan las pautas de actuación en cada tarea. Estos procedimientos son revisados y, en su caso, actualizados por la Unidad de Auditoría Interna, al menos, anualmente. Así mismo, se realizan auditorías de riesgo para comprobar que efectivamente cada uno de los departamentos cumple con los procedimientos. </w:t>
      </w:r>
    </w:p>
    <w:p w14:paraId="6A9C2392" w14:textId="77777777" w:rsidR="00C36168" w:rsidRPr="00443892" w:rsidRDefault="00C36168" w:rsidP="00C36168">
      <w:pPr>
        <w:pStyle w:val="Default"/>
        <w:pageBreakBefore/>
        <w:spacing w:after="120"/>
        <w:jc w:val="both"/>
        <w:rPr>
          <w:color w:val="939F27" w:themeColor="accent3" w:themeShade="BF"/>
          <w:sz w:val="22"/>
          <w:szCs w:val="22"/>
        </w:rPr>
      </w:pPr>
      <w:r w:rsidRPr="00443892">
        <w:rPr>
          <w:b/>
          <w:bCs/>
          <w:color w:val="939F27" w:themeColor="accent3" w:themeShade="BF"/>
          <w:sz w:val="22"/>
          <w:szCs w:val="22"/>
        </w:rPr>
        <w:lastRenderedPageBreak/>
        <w:t xml:space="preserve">2. Información sobre recursos propios computables </w:t>
      </w:r>
    </w:p>
    <w:p w14:paraId="030D7F25" w14:textId="77777777" w:rsidR="00C36168" w:rsidRPr="00443892" w:rsidRDefault="00C36168" w:rsidP="00C36168">
      <w:pPr>
        <w:pStyle w:val="Default"/>
        <w:spacing w:after="120"/>
        <w:jc w:val="both"/>
        <w:rPr>
          <w:color w:val="626A1A" w:themeColor="accent3" w:themeShade="80"/>
          <w:sz w:val="22"/>
          <w:szCs w:val="22"/>
        </w:rPr>
      </w:pPr>
      <w:r w:rsidRPr="00443892">
        <w:rPr>
          <w:b/>
          <w:bCs/>
          <w:color w:val="626A1A" w:themeColor="accent3" w:themeShade="80"/>
          <w:sz w:val="22"/>
          <w:szCs w:val="22"/>
        </w:rPr>
        <w:t xml:space="preserve">2.1. Elementos integrantes de los recursos propios </w:t>
      </w:r>
    </w:p>
    <w:p w14:paraId="37D35F85" w14:textId="77777777" w:rsidR="00C36168" w:rsidRPr="00B55D67" w:rsidRDefault="00C36168" w:rsidP="00C36168">
      <w:pPr>
        <w:pStyle w:val="Default"/>
        <w:spacing w:after="120"/>
        <w:jc w:val="both"/>
        <w:rPr>
          <w:sz w:val="22"/>
          <w:szCs w:val="22"/>
        </w:rPr>
      </w:pPr>
      <w:r w:rsidRPr="00B55D67">
        <w:rPr>
          <w:sz w:val="22"/>
          <w:szCs w:val="22"/>
        </w:rPr>
        <w:t xml:space="preserve">Los recursos propios de la Entidad están constituidos por los siguientes elementos: </w:t>
      </w:r>
    </w:p>
    <w:p w14:paraId="43044A2F" w14:textId="77777777" w:rsidR="00C36168" w:rsidRPr="00B55D67" w:rsidRDefault="00C36168" w:rsidP="00C36168">
      <w:pPr>
        <w:pStyle w:val="Default"/>
        <w:spacing w:after="120"/>
        <w:jc w:val="both"/>
        <w:rPr>
          <w:sz w:val="22"/>
          <w:szCs w:val="22"/>
        </w:rPr>
      </w:pPr>
      <w:r w:rsidRPr="00B55D67">
        <w:rPr>
          <w:sz w:val="22"/>
          <w:szCs w:val="22"/>
        </w:rPr>
        <w:t xml:space="preserve">1. Capital social </w:t>
      </w:r>
    </w:p>
    <w:p w14:paraId="169EC7E4" w14:textId="77777777" w:rsidR="00C36168" w:rsidRPr="00B55D67" w:rsidRDefault="00C36168" w:rsidP="00C36168">
      <w:pPr>
        <w:pStyle w:val="Default"/>
        <w:spacing w:after="120"/>
        <w:jc w:val="both"/>
        <w:rPr>
          <w:sz w:val="22"/>
          <w:szCs w:val="22"/>
        </w:rPr>
      </w:pPr>
      <w:r w:rsidRPr="00B55D67">
        <w:rPr>
          <w:sz w:val="22"/>
          <w:szCs w:val="22"/>
        </w:rPr>
        <w:t xml:space="preserve">2. </w:t>
      </w:r>
      <w:r>
        <w:rPr>
          <w:sz w:val="22"/>
          <w:szCs w:val="22"/>
        </w:rPr>
        <w:t>Reservas</w:t>
      </w:r>
      <w:r w:rsidRPr="00B55D67">
        <w:rPr>
          <w:sz w:val="22"/>
          <w:szCs w:val="22"/>
        </w:rPr>
        <w:t xml:space="preserve"> </w:t>
      </w:r>
    </w:p>
    <w:p w14:paraId="64672EFF" w14:textId="77777777" w:rsidR="00C36168" w:rsidRPr="00B55D67" w:rsidRDefault="00C36168" w:rsidP="00C36168">
      <w:pPr>
        <w:pStyle w:val="Default"/>
        <w:spacing w:after="120"/>
        <w:jc w:val="both"/>
        <w:rPr>
          <w:sz w:val="22"/>
          <w:szCs w:val="22"/>
        </w:rPr>
      </w:pPr>
      <w:r w:rsidRPr="00B55D67">
        <w:rPr>
          <w:sz w:val="22"/>
          <w:szCs w:val="22"/>
        </w:rPr>
        <w:t>3. Gana</w:t>
      </w:r>
      <w:r>
        <w:rPr>
          <w:sz w:val="22"/>
          <w:szCs w:val="22"/>
        </w:rPr>
        <w:t>n</w:t>
      </w:r>
      <w:r w:rsidRPr="00B55D67">
        <w:rPr>
          <w:sz w:val="22"/>
          <w:szCs w:val="22"/>
        </w:rPr>
        <w:t>cias</w:t>
      </w:r>
      <w:r>
        <w:rPr>
          <w:sz w:val="22"/>
          <w:szCs w:val="22"/>
        </w:rPr>
        <w:t>/Pérdidas</w:t>
      </w:r>
      <w:r w:rsidRPr="00B55D67">
        <w:rPr>
          <w:sz w:val="22"/>
          <w:szCs w:val="22"/>
        </w:rPr>
        <w:t xml:space="preserve"> acumuladas </w:t>
      </w:r>
    </w:p>
    <w:p w14:paraId="6582DD2D" w14:textId="77777777" w:rsidR="00C36168" w:rsidRPr="00B55D67" w:rsidRDefault="00C36168" w:rsidP="00C36168">
      <w:pPr>
        <w:pStyle w:val="Default"/>
        <w:spacing w:after="120"/>
        <w:jc w:val="both"/>
        <w:rPr>
          <w:sz w:val="22"/>
          <w:szCs w:val="22"/>
        </w:rPr>
      </w:pPr>
      <w:r w:rsidRPr="00B55D67">
        <w:rPr>
          <w:sz w:val="22"/>
          <w:szCs w:val="22"/>
        </w:rPr>
        <w:t xml:space="preserve">4. Resultado del ejercicio </w:t>
      </w:r>
    </w:p>
    <w:p w14:paraId="686C00CE" w14:textId="77777777" w:rsidR="00C36168" w:rsidRDefault="00C36168" w:rsidP="00C36168">
      <w:pPr>
        <w:pStyle w:val="Default"/>
        <w:spacing w:after="120"/>
        <w:jc w:val="both"/>
        <w:rPr>
          <w:sz w:val="22"/>
          <w:szCs w:val="22"/>
        </w:rPr>
      </w:pPr>
      <w:r w:rsidRPr="00443892">
        <w:rPr>
          <w:b/>
          <w:bCs/>
          <w:color w:val="626A1A" w:themeColor="accent3" w:themeShade="80"/>
          <w:sz w:val="22"/>
          <w:szCs w:val="22"/>
        </w:rPr>
        <w:t xml:space="preserve">2.2. </w:t>
      </w:r>
      <w:r w:rsidRPr="002A0BA2">
        <w:rPr>
          <w:b/>
          <w:bCs/>
          <w:color w:val="626A1A" w:themeColor="accent3" w:themeShade="80"/>
          <w:sz w:val="22"/>
          <w:szCs w:val="22"/>
        </w:rPr>
        <w:t xml:space="preserve">Importe total de los recursos propios </w:t>
      </w:r>
      <w:r>
        <w:rPr>
          <w:b/>
          <w:bCs/>
          <w:color w:val="626A1A" w:themeColor="accent3" w:themeShade="80"/>
          <w:sz w:val="22"/>
          <w:szCs w:val="22"/>
        </w:rPr>
        <w:t>Nivel 1</w:t>
      </w:r>
    </w:p>
    <w:p w14:paraId="1267C989" w14:textId="77777777" w:rsidR="00C36168" w:rsidRPr="00B55D67" w:rsidRDefault="00C36168" w:rsidP="00C36168">
      <w:pPr>
        <w:pStyle w:val="Default"/>
        <w:spacing w:after="120"/>
        <w:jc w:val="both"/>
        <w:rPr>
          <w:sz w:val="22"/>
          <w:szCs w:val="22"/>
        </w:rPr>
      </w:pPr>
      <w:r w:rsidRPr="00B55D67">
        <w:rPr>
          <w:sz w:val="22"/>
          <w:szCs w:val="22"/>
        </w:rPr>
        <w:t>Los recursos propios básicos de la Entidad a 31 de diciembre de 202</w:t>
      </w:r>
      <w:r>
        <w:rPr>
          <w:sz w:val="22"/>
          <w:szCs w:val="22"/>
        </w:rPr>
        <w:t>5</w:t>
      </w:r>
      <w:r w:rsidRPr="00B55D67">
        <w:rPr>
          <w:sz w:val="22"/>
          <w:szCs w:val="22"/>
        </w:rPr>
        <w:t xml:space="preserve"> están constituidos por los siguientes elementos: </w:t>
      </w:r>
    </w:p>
    <w:p w14:paraId="32AB596C" w14:textId="77777777" w:rsidR="00C36168" w:rsidRPr="00B55D67" w:rsidRDefault="00C36168" w:rsidP="00C36168">
      <w:pPr>
        <w:pStyle w:val="Default"/>
        <w:spacing w:after="120"/>
        <w:jc w:val="both"/>
        <w:rPr>
          <w:sz w:val="22"/>
          <w:szCs w:val="22"/>
        </w:rPr>
      </w:pPr>
      <w:r w:rsidRPr="00B55D67">
        <w:rPr>
          <w:sz w:val="22"/>
          <w:szCs w:val="22"/>
        </w:rPr>
        <w:t xml:space="preserve">1. </w:t>
      </w:r>
      <w:r w:rsidRPr="002A0BA2">
        <w:rPr>
          <w:sz w:val="22"/>
          <w:szCs w:val="22"/>
          <w:u w:val="single"/>
        </w:rPr>
        <w:t>Capital social</w:t>
      </w:r>
      <w:r w:rsidRPr="00B55D67">
        <w:rPr>
          <w:sz w:val="22"/>
          <w:szCs w:val="22"/>
        </w:rPr>
        <w:t>: El capital social de la Entidad se haya completamente desembolsado y a 31 de diciembre de 202</w:t>
      </w:r>
      <w:r>
        <w:rPr>
          <w:sz w:val="22"/>
          <w:szCs w:val="22"/>
        </w:rPr>
        <w:t>5</w:t>
      </w:r>
      <w:r w:rsidRPr="00B55D67">
        <w:rPr>
          <w:sz w:val="22"/>
          <w:szCs w:val="22"/>
        </w:rPr>
        <w:t xml:space="preserve"> asciende a la cifra de </w:t>
      </w:r>
      <w:r>
        <w:rPr>
          <w:sz w:val="22"/>
          <w:szCs w:val="22"/>
        </w:rPr>
        <w:t>11</w:t>
      </w:r>
      <w:r w:rsidRPr="00B55D67">
        <w:rPr>
          <w:sz w:val="22"/>
          <w:szCs w:val="22"/>
        </w:rPr>
        <w:t>.</w:t>
      </w:r>
      <w:r>
        <w:rPr>
          <w:sz w:val="22"/>
          <w:szCs w:val="22"/>
        </w:rPr>
        <w:t>000</w:t>
      </w:r>
      <w:r w:rsidRPr="00B55D67">
        <w:rPr>
          <w:sz w:val="22"/>
          <w:szCs w:val="22"/>
        </w:rPr>
        <w:t xml:space="preserve"> miles de euros. </w:t>
      </w:r>
    </w:p>
    <w:p w14:paraId="7292571A" w14:textId="77777777" w:rsidR="00C36168" w:rsidRPr="00B55D67" w:rsidRDefault="00C36168" w:rsidP="00C36168">
      <w:pPr>
        <w:pStyle w:val="Default"/>
        <w:spacing w:after="120"/>
        <w:jc w:val="both"/>
        <w:rPr>
          <w:sz w:val="22"/>
          <w:szCs w:val="22"/>
        </w:rPr>
      </w:pPr>
      <w:r w:rsidRPr="00B55D67">
        <w:rPr>
          <w:sz w:val="22"/>
          <w:szCs w:val="22"/>
        </w:rPr>
        <w:t xml:space="preserve">2. </w:t>
      </w:r>
      <w:r w:rsidRPr="002A0BA2">
        <w:rPr>
          <w:sz w:val="22"/>
          <w:szCs w:val="22"/>
          <w:u w:val="single"/>
        </w:rPr>
        <w:t>Reservas</w:t>
      </w:r>
      <w:r w:rsidRPr="00B55D67">
        <w:rPr>
          <w:sz w:val="22"/>
          <w:szCs w:val="22"/>
        </w:rPr>
        <w:t xml:space="preserve">: </w:t>
      </w:r>
      <w:r>
        <w:rPr>
          <w:sz w:val="22"/>
          <w:szCs w:val="22"/>
        </w:rPr>
        <w:t>Corresponde a los gastos de constitución de la sociedad y a</w:t>
      </w:r>
      <w:r w:rsidRPr="00B55D67">
        <w:rPr>
          <w:sz w:val="22"/>
          <w:szCs w:val="22"/>
        </w:rPr>
        <w:t xml:space="preserve"> 31 de diciembre de 202</w:t>
      </w:r>
      <w:r>
        <w:rPr>
          <w:sz w:val="22"/>
          <w:szCs w:val="22"/>
        </w:rPr>
        <w:t>5</w:t>
      </w:r>
      <w:r w:rsidRPr="00B55D67">
        <w:rPr>
          <w:sz w:val="22"/>
          <w:szCs w:val="22"/>
        </w:rPr>
        <w:t xml:space="preserve"> tiene un importe de </w:t>
      </w:r>
      <w:r>
        <w:rPr>
          <w:sz w:val="22"/>
          <w:szCs w:val="22"/>
        </w:rPr>
        <w:t>-5</w:t>
      </w:r>
      <w:r w:rsidRPr="00B55D67">
        <w:rPr>
          <w:sz w:val="22"/>
          <w:szCs w:val="22"/>
        </w:rPr>
        <w:t xml:space="preserve"> miles de euros. </w:t>
      </w:r>
    </w:p>
    <w:p w14:paraId="73247C99" w14:textId="77777777" w:rsidR="00C36168" w:rsidRPr="00B55D67" w:rsidRDefault="00C36168" w:rsidP="00C36168">
      <w:pPr>
        <w:pStyle w:val="Default"/>
        <w:spacing w:after="120"/>
        <w:jc w:val="both"/>
        <w:rPr>
          <w:sz w:val="22"/>
          <w:szCs w:val="22"/>
        </w:rPr>
      </w:pPr>
      <w:r w:rsidRPr="00B55D67">
        <w:rPr>
          <w:sz w:val="22"/>
          <w:szCs w:val="22"/>
        </w:rPr>
        <w:t xml:space="preserve">3. </w:t>
      </w:r>
      <w:r w:rsidRPr="002A0BA2">
        <w:rPr>
          <w:sz w:val="22"/>
          <w:szCs w:val="22"/>
          <w:u w:val="single"/>
        </w:rPr>
        <w:t>Ganancias/Pérdidas acumuladas</w:t>
      </w:r>
      <w:r w:rsidRPr="00B55D67">
        <w:rPr>
          <w:sz w:val="22"/>
          <w:szCs w:val="22"/>
        </w:rPr>
        <w:t xml:space="preserve">: Las </w:t>
      </w:r>
      <w:r>
        <w:rPr>
          <w:sz w:val="22"/>
          <w:szCs w:val="22"/>
        </w:rPr>
        <w:t>pérdidas</w:t>
      </w:r>
      <w:r w:rsidRPr="00B55D67">
        <w:rPr>
          <w:sz w:val="22"/>
          <w:szCs w:val="22"/>
        </w:rPr>
        <w:t xml:space="preserve"> acumuladas de la Entidad, a 31 de diciembre de 202</w:t>
      </w:r>
      <w:r>
        <w:rPr>
          <w:sz w:val="22"/>
          <w:szCs w:val="22"/>
        </w:rPr>
        <w:t>5</w:t>
      </w:r>
      <w:r w:rsidRPr="00B55D67">
        <w:rPr>
          <w:sz w:val="22"/>
          <w:szCs w:val="22"/>
        </w:rPr>
        <w:t xml:space="preserve">, alcanzan la cifra de </w:t>
      </w:r>
      <w:r>
        <w:rPr>
          <w:sz w:val="22"/>
          <w:szCs w:val="22"/>
        </w:rPr>
        <w:t>-1</w:t>
      </w:r>
      <w:r w:rsidRPr="00B55D67">
        <w:rPr>
          <w:sz w:val="22"/>
          <w:szCs w:val="22"/>
        </w:rPr>
        <w:t>.</w:t>
      </w:r>
      <w:r>
        <w:rPr>
          <w:sz w:val="22"/>
          <w:szCs w:val="22"/>
        </w:rPr>
        <w:t>379</w:t>
      </w:r>
      <w:r w:rsidRPr="00B55D67">
        <w:rPr>
          <w:sz w:val="22"/>
          <w:szCs w:val="22"/>
        </w:rPr>
        <w:t xml:space="preserve"> miles de euros. </w:t>
      </w:r>
    </w:p>
    <w:p w14:paraId="59CCF909" w14:textId="77777777" w:rsidR="00C36168" w:rsidRPr="00B55D67" w:rsidRDefault="00C36168" w:rsidP="00C36168">
      <w:pPr>
        <w:pStyle w:val="Default"/>
        <w:spacing w:after="120"/>
        <w:jc w:val="both"/>
        <w:rPr>
          <w:sz w:val="22"/>
          <w:szCs w:val="22"/>
        </w:rPr>
      </w:pPr>
      <w:r w:rsidRPr="00B55D67">
        <w:rPr>
          <w:sz w:val="22"/>
          <w:szCs w:val="22"/>
        </w:rPr>
        <w:t xml:space="preserve">4. </w:t>
      </w:r>
      <w:r w:rsidRPr="002A0BA2">
        <w:rPr>
          <w:sz w:val="22"/>
          <w:szCs w:val="22"/>
          <w:u w:val="single"/>
        </w:rPr>
        <w:t>Resultado del ejercicio</w:t>
      </w:r>
      <w:r w:rsidRPr="00B55D67">
        <w:rPr>
          <w:sz w:val="22"/>
          <w:szCs w:val="22"/>
        </w:rPr>
        <w:t>: El resultado positivo del ejercicio 202</w:t>
      </w:r>
      <w:r>
        <w:rPr>
          <w:sz w:val="22"/>
          <w:szCs w:val="22"/>
        </w:rPr>
        <w:t>5</w:t>
      </w:r>
      <w:r w:rsidRPr="00B55D67">
        <w:rPr>
          <w:sz w:val="22"/>
          <w:szCs w:val="22"/>
        </w:rPr>
        <w:t xml:space="preserve"> asciende a la cifra de </w:t>
      </w:r>
      <w:r>
        <w:rPr>
          <w:sz w:val="22"/>
          <w:szCs w:val="22"/>
        </w:rPr>
        <w:t>82</w:t>
      </w:r>
      <w:r w:rsidRPr="00B55D67">
        <w:rPr>
          <w:sz w:val="22"/>
          <w:szCs w:val="22"/>
        </w:rPr>
        <w:t xml:space="preserve"> miles de euros. No computa como recursos propios porque aún no estaba auditado. </w:t>
      </w:r>
    </w:p>
    <w:p w14:paraId="277AA710" w14:textId="77777777" w:rsidR="00C36168" w:rsidRPr="00B55D67" w:rsidRDefault="00C36168" w:rsidP="00C36168">
      <w:pPr>
        <w:pStyle w:val="Default"/>
        <w:spacing w:after="120"/>
        <w:jc w:val="both"/>
        <w:rPr>
          <w:sz w:val="22"/>
          <w:szCs w:val="22"/>
        </w:rPr>
      </w:pPr>
      <w:r w:rsidRPr="00B55D67">
        <w:rPr>
          <w:sz w:val="22"/>
          <w:szCs w:val="22"/>
        </w:rPr>
        <w:t xml:space="preserve">Las deducciones de los recursos propios </w:t>
      </w:r>
      <w:r>
        <w:rPr>
          <w:sz w:val="22"/>
          <w:szCs w:val="22"/>
        </w:rPr>
        <w:t>de Nivel 1</w:t>
      </w:r>
      <w:r w:rsidRPr="00B55D67">
        <w:rPr>
          <w:sz w:val="22"/>
          <w:szCs w:val="22"/>
        </w:rPr>
        <w:t xml:space="preserve">son las siguientes: </w:t>
      </w:r>
    </w:p>
    <w:p w14:paraId="2767CDA8" w14:textId="77777777" w:rsidR="00C36168" w:rsidRPr="00B55D67" w:rsidRDefault="00C36168" w:rsidP="00C36168">
      <w:pPr>
        <w:pStyle w:val="Default"/>
        <w:jc w:val="both"/>
        <w:rPr>
          <w:sz w:val="22"/>
          <w:szCs w:val="22"/>
        </w:rPr>
      </w:pPr>
      <w:r w:rsidRPr="002A0BA2">
        <w:rPr>
          <w:sz w:val="22"/>
          <w:szCs w:val="22"/>
          <w:u w:val="single"/>
        </w:rPr>
        <w:t>Activos por impuestos diferidos</w:t>
      </w:r>
      <w:r w:rsidRPr="00B55D67">
        <w:rPr>
          <w:sz w:val="22"/>
          <w:szCs w:val="22"/>
        </w:rPr>
        <w:t xml:space="preserve">: </w:t>
      </w:r>
      <w:r>
        <w:rPr>
          <w:sz w:val="22"/>
          <w:szCs w:val="22"/>
        </w:rPr>
        <w:t>A</w:t>
      </w:r>
      <w:r w:rsidRPr="00B55D67">
        <w:rPr>
          <w:sz w:val="22"/>
          <w:szCs w:val="22"/>
        </w:rPr>
        <w:t xml:space="preserve"> 31 de diciembre de 202</w:t>
      </w:r>
      <w:r>
        <w:rPr>
          <w:sz w:val="22"/>
          <w:szCs w:val="22"/>
        </w:rPr>
        <w:t>5</w:t>
      </w:r>
      <w:r w:rsidRPr="00B55D67">
        <w:rPr>
          <w:sz w:val="22"/>
          <w:szCs w:val="22"/>
        </w:rPr>
        <w:t xml:space="preserve"> asciende a la cifra de </w:t>
      </w:r>
      <w:r>
        <w:rPr>
          <w:sz w:val="22"/>
          <w:szCs w:val="22"/>
        </w:rPr>
        <w:t>-537</w:t>
      </w:r>
      <w:r w:rsidRPr="00B55D67">
        <w:rPr>
          <w:sz w:val="22"/>
          <w:szCs w:val="22"/>
        </w:rPr>
        <w:t xml:space="preserve"> miles de euros</w:t>
      </w:r>
      <w:r>
        <w:rPr>
          <w:sz w:val="22"/>
          <w:szCs w:val="22"/>
        </w:rPr>
        <w:t>. En base al plan de negocio aprobado formalmente por la Entidad, esta considera probable que va a tener en el futuro suficientes ganancias fiscales contra las que poder hacer efectivo los créditos por bases imponibles negativas.</w:t>
      </w:r>
    </w:p>
    <w:p w14:paraId="54496C63" w14:textId="77777777" w:rsidR="00C36168" w:rsidRPr="00B55D67" w:rsidRDefault="00C36168" w:rsidP="00C36168">
      <w:pPr>
        <w:pStyle w:val="Default"/>
        <w:jc w:val="both"/>
        <w:rPr>
          <w:color w:val="auto"/>
          <w:sz w:val="22"/>
          <w:szCs w:val="22"/>
        </w:rPr>
      </w:pPr>
    </w:p>
    <w:p w14:paraId="1FD00150" w14:textId="77777777" w:rsidR="00C36168" w:rsidRDefault="00C36168" w:rsidP="00C36168">
      <w:pPr>
        <w:pStyle w:val="Default"/>
        <w:spacing w:after="120"/>
        <w:jc w:val="both"/>
        <w:rPr>
          <w:color w:val="FFFFFF"/>
        </w:rPr>
      </w:pPr>
      <w:r>
        <w:rPr>
          <w:color w:val="auto"/>
          <w:sz w:val="22"/>
          <w:szCs w:val="22"/>
        </w:rPr>
        <w:t>El</w:t>
      </w:r>
      <w:r w:rsidRPr="00B55D67">
        <w:rPr>
          <w:color w:val="auto"/>
          <w:sz w:val="22"/>
          <w:szCs w:val="22"/>
        </w:rPr>
        <w:t xml:space="preserve"> importe total de recursos propios netos de deducciones asciende a la cifra de </w:t>
      </w:r>
      <w:r>
        <w:rPr>
          <w:color w:val="auto"/>
          <w:sz w:val="22"/>
          <w:szCs w:val="22"/>
        </w:rPr>
        <w:t>5</w:t>
      </w:r>
      <w:r w:rsidRPr="00B55D67">
        <w:rPr>
          <w:color w:val="auto"/>
          <w:sz w:val="22"/>
          <w:szCs w:val="22"/>
        </w:rPr>
        <w:t>.</w:t>
      </w:r>
      <w:r>
        <w:rPr>
          <w:color w:val="auto"/>
          <w:sz w:val="22"/>
          <w:szCs w:val="22"/>
        </w:rPr>
        <w:t>710</w:t>
      </w:r>
      <w:r w:rsidRPr="00B55D67">
        <w:rPr>
          <w:color w:val="auto"/>
          <w:sz w:val="22"/>
          <w:szCs w:val="22"/>
        </w:rPr>
        <w:t xml:space="preserve"> miles de euros, que se reparten de la siguiente forma: </w:t>
      </w:r>
    </w:p>
    <w:tbl>
      <w:tblPr>
        <w:tblW w:w="4520" w:type="dxa"/>
        <w:tblCellMar>
          <w:left w:w="70" w:type="dxa"/>
          <w:right w:w="70" w:type="dxa"/>
        </w:tblCellMar>
        <w:tblLook w:val="04A0" w:firstRow="1" w:lastRow="0" w:firstColumn="1" w:lastColumn="0" w:noHBand="0" w:noVBand="1"/>
      </w:tblPr>
      <w:tblGrid>
        <w:gridCol w:w="3280"/>
        <w:gridCol w:w="1270"/>
      </w:tblGrid>
      <w:tr w:rsidR="00C36168" w:rsidRPr="00023BEC" w14:paraId="1ACDB0D2" w14:textId="77777777" w:rsidTr="00F65AAC">
        <w:trPr>
          <w:trHeight w:val="285"/>
        </w:trPr>
        <w:tc>
          <w:tcPr>
            <w:tcW w:w="3280" w:type="dxa"/>
            <w:tcBorders>
              <w:top w:val="nil"/>
              <w:left w:val="nil"/>
              <w:bottom w:val="nil"/>
              <w:right w:val="nil"/>
            </w:tcBorders>
            <w:noWrap/>
            <w:vAlign w:val="bottom"/>
            <w:hideMark/>
          </w:tcPr>
          <w:p w14:paraId="09CF0A65" w14:textId="77777777" w:rsidR="00C36168" w:rsidRPr="00023BEC" w:rsidRDefault="00C36168" w:rsidP="00F65AAC">
            <w:pPr>
              <w:spacing w:after="0" w:line="240" w:lineRule="auto"/>
              <w:rPr>
                <w:rFonts w:ascii="Times New Roman" w:eastAsia="Times New Roman" w:hAnsi="Times New Roman" w:cs="Times New Roman"/>
                <w:kern w:val="0"/>
                <w:sz w:val="24"/>
                <w:szCs w:val="24"/>
                <w:lang w:eastAsia="es-ES"/>
                <w14:ligatures w14:val="none"/>
              </w:rPr>
            </w:pPr>
          </w:p>
        </w:tc>
        <w:tc>
          <w:tcPr>
            <w:tcW w:w="1240" w:type="dxa"/>
            <w:tcBorders>
              <w:top w:val="nil"/>
              <w:left w:val="nil"/>
              <w:bottom w:val="nil"/>
              <w:right w:val="nil"/>
            </w:tcBorders>
            <w:noWrap/>
            <w:vAlign w:val="bottom"/>
            <w:hideMark/>
          </w:tcPr>
          <w:p w14:paraId="66CE7E3C" w14:textId="77777777" w:rsidR="00C36168" w:rsidRPr="00023BEC" w:rsidRDefault="00C36168" w:rsidP="00F65AAC">
            <w:pPr>
              <w:spacing w:after="0" w:line="240" w:lineRule="auto"/>
              <w:jc w:val="right"/>
              <w:rPr>
                <w:rFonts w:ascii="Tahoma" w:eastAsia="Times New Roman" w:hAnsi="Tahoma" w:cs="Tahoma"/>
                <w:color w:val="000000"/>
                <w:kern w:val="0"/>
                <w:lang w:eastAsia="es-ES"/>
                <w14:ligatures w14:val="none"/>
              </w:rPr>
            </w:pPr>
            <w:r w:rsidRPr="00023BEC">
              <w:rPr>
                <w:rFonts w:ascii="Tahoma" w:eastAsia="Times New Roman" w:hAnsi="Tahoma" w:cs="Tahoma"/>
                <w:color w:val="000000"/>
                <w:kern w:val="0"/>
                <w:lang w:eastAsia="es-ES"/>
                <w14:ligatures w14:val="none"/>
              </w:rPr>
              <w:t>31/12/202</w:t>
            </w:r>
            <w:r>
              <w:rPr>
                <w:rFonts w:ascii="Tahoma" w:eastAsia="Times New Roman" w:hAnsi="Tahoma" w:cs="Tahoma"/>
                <w:color w:val="000000"/>
                <w:kern w:val="0"/>
                <w:lang w:eastAsia="es-ES"/>
                <w14:ligatures w14:val="none"/>
              </w:rPr>
              <w:t>5</w:t>
            </w:r>
          </w:p>
        </w:tc>
      </w:tr>
      <w:tr w:rsidR="00C36168" w:rsidRPr="00023BEC" w14:paraId="5D01DBB1" w14:textId="77777777" w:rsidTr="00F65AAC">
        <w:trPr>
          <w:trHeight w:val="300"/>
        </w:trPr>
        <w:tc>
          <w:tcPr>
            <w:tcW w:w="3280" w:type="dxa"/>
            <w:tcBorders>
              <w:top w:val="nil"/>
              <w:left w:val="nil"/>
              <w:bottom w:val="double" w:sz="6" w:space="0" w:color="auto"/>
              <w:right w:val="nil"/>
            </w:tcBorders>
            <w:noWrap/>
            <w:vAlign w:val="bottom"/>
            <w:hideMark/>
          </w:tcPr>
          <w:p w14:paraId="600526C7" w14:textId="77777777" w:rsidR="00C36168" w:rsidRPr="00023BEC" w:rsidRDefault="00C36168" w:rsidP="00F65AAC">
            <w:pPr>
              <w:spacing w:after="0" w:line="240" w:lineRule="auto"/>
              <w:rPr>
                <w:rFonts w:ascii="Tahoma" w:eastAsia="Times New Roman" w:hAnsi="Tahoma" w:cs="Tahoma"/>
                <w:color w:val="000000"/>
                <w:kern w:val="0"/>
                <w:lang w:eastAsia="es-ES"/>
                <w14:ligatures w14:val="none"/>
              </w:rPr>
            </w:pPr>
            <w:r w:rsidRPr="00023BEC">
              <w:rPr>
                <w:rFonts w:ascii="Tahoma" w:eastAsia="Times New Roman" w:hAnsi="Tahoma" w:cs="Tahoma"/>
                <w:color w:val="000000"/>
                <w:kern w:val="0"/>
                <w:lang w:eastAsia="es-ES"/>
                <w14:ligatures w14:val="none"/>
              </w:rPr>
              <w:t>Recursos Propios Nivel 1</w:t>
            </w:r>
          </w:p>
        </w:tc>
        <w:tc>
          <w:tcPr>
            <w:tcW w:w="1240" w:type="dxa"/>
            <w:tcBorders>
              <w:top w:val="nil"/>
              <w:left w:val="nil"/>
              <w:bottom w:val="double" w:sz="6" w:space="0" w:color="auto"/>
              <w:right w:val="nil"/>
            </w:tcBorders>
            <w:noWrap/>
            <w:vAlign w:val="bottom"/>
            <w:hideMark/>
          </w:tcPr>
          <w:p w14:paraId="40AD8CDD" w14:textId="77777777" w:rsidR="00C36168" w:rsidRPr="00023BEC" w:rsidRDefault="00C36168" w:rsidP="00F65AAC">
            <w:pPr>
              <w:spacing w:after="0" w:line="240" w:lineRule="auto"/>
              <w:rPr>
                <w:rFonts w:ascii="Tahoma" w:eastAsia="Times New Roman" w:hAnsi="Tahoma" w:cs="Tahoma"/>
                <w:color w:val="000000"/>
                <w:kern w:val="0"/>
                <w:lang w:eastAsia="es-ES"/>
                <w14:ligatures w14:val="none"/>
              </w:rPr>
            </w:pPr>
            <w:r w:rsidRPr="00023BEC">
              <w:rPr>
                <w:rFonts w:ascii="Tahoma" w:eastAsia="Times New Roman" w:hAnsi="Tahoma" w:cs="Tahoma"/>
                <w:color w:val="000000"/>
                <w:kern w:val="0"/>
                <w:lang w:eastAsia="es-ES"/>
                <w14:ligatures w14:val="none"/>
              </w:rPr>
              <w:t>Miles de €</w:t>
            </w:r>
          </w:p>
        </w:tc>
      </w:tr>
      <w:tr w:rsidR="00C36168" w:rsidRPr="00023BEC" w14:paraId="386B04B5" w14:textId="77777777" w:rsidTr="00F65AAC">
        <w:trPr>
          <w:trHeight w:val="300"/>
        </w:trPr>
        <w:tc>
          <w:tcPr>
            <w:tcW w:w="3280" w:type="dxa"/>
            <w:tcBorders>
              <w:top w:val="nil"/>
              <w:left w:val="nil"/>
              <w:bottom w:val="nil"/>
              <w:right w:val="nil"/>
            </w:tcBorders>
            <w:noWrap/>
            <w:vAlign w:val="bottom"/>
            <w:hideMark/>
          </w:tcPr>
          <w:p w14:paraId="2B55F43D" w14:textId="77777777" w:rsidR="00C36168" w:rsidRPr="00023BEC" w:rsidRDefault="00C36168" w:rsidP="00F65AAC">
            <w:pPr>
              <w:spacing w:after="0" w:line="240" w:lineRule="auto"/>
              <w:rPr>
                <w:rFonts w:ascii="Tahoma" w:eastAsia="Times New Roman" w:hAnsi="Tahoma" w:cs="Tahoma"/>
                <w:color w:val="000000"/>
                <w:kern w:val="0"/>
                <w:lang w:eastAsia="es-ES"/>
                <w14:ligatures w14:val="none"/>
              </w:rPr>
            </w:pPr>
            <w:r w:rsidRPr="00023BEC">
              <w:rPr>
                <w:rFonts w:ascii="Tahoma" w:eastAsia="Times New Roman" w:hAnsi="Tahoma" w:cs="Tahoma"/>
                <w:color w:val="000000"/>
                <w:kern w:val="0"/>
                <w:lang w:eastAsia="es-ES"/>
                <w14:ligatures w14:val="none"/>
              </w:rPr>
              <w:t>Capital Social</w:t>
            </w:r>
          </w:p>
        </w:tc>
        <w:tc>
          <w:tcPr>
            <w:tcW w:w="1240" w:type="dxa"/>
            <w:tcBorders>
              <w:top w:val="nil"/>
              <w:left w:val="nil"/>
              <w:bottom w:val="nil"/>
              <w:right w:val="nil"/>
            </w:tcBorders>
            <w:noWrap/>
            <w:vAlign w:val="bottom"/>
            <w:hideMark/>
          </w:tcPr>
          <w:p w14:paraId="1B8780F5" w14:textId="77777777" w:rsidR="00C36168" w:rsidRPr="00023BEC" w:rsidRDefault="00C36168" w:rsidP="00F65AAC">
            <w:pPr>
              <w:spacing w:after="0" w:line="240" w:lineRule="auto"/>
              <w:jc w:val="right"/>
              <w:rPr>
                <w:rFonts w:ascii="Tahoma" w:eastAsia="Times New Roman" w:hAnsi="Tahoma" w:cs="Tahoma"/>
                <w:color w:val="000000"/>
                <w:kern w:val="0"/>
                <w:lang w:eastAsia="es-ES"/>
                <w14:ligatures w14:val="none"/>
              </w:rPr>
            </w:pPr>
            <w:r>
              <w:rPr>
                <w:rFonts w:ascii="Tahoma" w:eastAsia="Times New Roman" w:hAnsi="Tahoma" w:cs="Tahoma"/>
                <w:color w:val="000000"/>
                <w:kern w:val="0"/>
                <w:lang w:eastAsia="es-ES"/>
                <w14:ligatures w14:val="none"/>
              </w:rPr>
              <w:t>11</w:t>
            </w:r>
            <w:r w:rsidRPr="00023BEC">
              <w:rPr>
                <w:rFonts w:ascii="Tahoma" w:eastAsia="Times New Roman" w:hAnsi="Tahoma" w:cs="Tahoma"/>
                <w:color w:val="000000"/>
                <w:kern w:val="0"/>
                <w:lang w:eastAsia="es-ES"/>
                <w14:ligatures w14:val="none"/>
              </w:rPr>
              <w:t>.000</w:t>
            </w:r>
          </w:p>
        </w:tc>
      </w:tr>
      <w:tr w:rsidR="00C36168" w:rsidRPr="00023BEC" w14:paraId="012A8F0D" w14:textId="77777777" w:rsidTr="00F65AAC">
        <w:trPr>
          <w:trHeight w:val="285"/>
        </w:trPr>
        <w:tc>
          <w:tcPr>
            <w:tcW w:w="3280" w:type="dxa"/>
            <w:tcBorders>
              <w:top w:val="nil"/>
              <w:left w:val="nil"/>
              <w:bottom w:val="nil"/>
              <w:right w:val="nil"/>
            </w:tcBorders>
            <w:noWrap/>
            <w:vAlign w:val="bottom"/>
            <w:hideMark/>
          </w:tcPr>
          <w:p w14:paraId="7CA05517" w14:textId="77777777" w:rsidR="00C36168" w:rsidRPr="00023BEC" w:rsidRDefault="00C36168" w:rsidP="00F65AAC">
            <w:pPr>
              <w:spacing w:after="0" w:line="240" w:lineRule="auto"/>
              <w:rPr>
                <w:rFonts w:ascii="Tahoma" w:eastAsia="Times New Roman" w:hAnsi="Tahoma" w:cs="Tahoma"/>
                <w:color w:val="000000"/>
                <w:kern w:val="0"/>
                <w:lang w:eastAsia="es-ES"/>
                <w14:ligatures w14:val="none"/>
              </w:rPr>
            </w:pPr>
            <w:r w:rsidRPr="00023BEC">
              <w:rPr>
                <w:rFonts w:ascii="Tahoma" w:eastAsia="Times New Roman" w:hAnsi="Tahoma" w:cs="Tahoma"/>
                <w:color w:val="000000"/>
                <w:kern w:val="0"/>
                <w:lang w:eastAsia="es-ES"/>
                <w14:ligatures w14:val="none"/>
              </w:rPr>
              <w:t>Reservas</w:t>
            </w:r>
          </w:p>
        </w:tc>
        <w:tc>
          <w:tcPr>
            <w:tcW w:w="1240" w:type="dxa"/>
            <w:tcBorders>
              <w:top w:val="nil"/>
              <w:left w:val="nil"/>
              <w:bottom w:val="nil"/>
              <w:right w:val="nil"/>
            </w:tcBorders>
            <w:noWrap/>
            <w:vAlign w:val="bottom"/>
            <w:hideMark/>
          </w:tcPr>
          <w:p w14:paraId="2DED3C2E" w14:textId="77777777" w:rsidR="00C36168" w:rsidRPr="00023BEC" w:rsidRDefault="00C36168" w:rsidP="00F65AAC">
            <w:pPr>
              <w:spacing w:after="0" w:line="240" w:lineRule="auto"/>
              <w:jc w:val="right"/>
              <w:rPr>
                <w:rFonts w:ascii="Tahoma" w:eastAsia="Times New Roman" w:hAnsi="Tahoma" w:cs="Tahoma"/>
                <w:color w:val="000000"/>
                <w:kern w:val="0"/>
                <w:lang w:eastAsia="es-ES"/>
                <w14:ligatures w14:val="none"/>
              </w:rPr>
            </w:pPr>
            <w:r w:rsidRPr="00023BEC">
              <w:rPr>
                <w:rFonts w:ascii="Tahoma" w:eastAsia="Times New Roman" w:hAnsi="Tahoma" w:cs="Tahoma"/>
                <w:color w:val="000000"/>
                <w:kern w:val="0"/>
                <w:lang w:eastAsia="es-ES"/>
                <w14:ligatures w14:val="none"/>
              </w:rPr>
              <w:t>-5</w:t>
            </w:r>
          </w:p>
        </w:tc>
      </w:tr>
      <w:tr w:rsidR="00C36168" w:rsidRPr="00023BEC" w14:paraId="2C59EFFC" w14:textId="77777777" w:rsidTr="00F65AAC">
        <w:trPr>
          <w:trHeight w:val="285"/>
        </w:trPr>
        <w:tc>
          <w:tcPr>
            <w:tcW w:w="3280" w:type="dxa"/>
            <w:tcBorders>
              <w:top w:val="nil"/>
              <w:left w:val="nil"/>
              <w:bottom w:val="nil"/>
              <w:right w:val="nil"/>
            </w:tcBorders>
            <w:noWrap/>
            <w:vAlign w:val="bottom"/>
            <w:hideMark/>
          </w:tcPr>
          <w:p w14:paraId="58BE8D22" w14:textId="77777777" w:rsidR="00C36168" w:rsidRPr="00023BEC" w:rsidRDefault="00C36168" w:rsidP="00F65AAC">
            <w:pPr>
              <w:spacing w:after="0" w:line="240" w:lineRule="auto"/>
              <w:rPr>
                <w:rFonts w:ascii="Tahoma" w:eastAsia="Times New Roman" w:hAnsi="Tahoma" w:cs="Tahoma"/>
                <w:color w:val="000000"/>
                <w:kern w:val="0"/>
                <w:lang w:eastAsia="es-ES"/>
                <w14:ligatures w14:val="none"/>
              </w:rPr>
            </w:pPr>
            <w:r w:rsidRPr="00023BEC">
              <w:rPr>
                <w:rFonts w:ascii="Tahoma" w:eastAsia="Times New Roman" w:hAnsi="Tahoma" w:cs="Tahoma"/>
                <w:color w:val="000000"/>
                <w:kern w:val="0"/>
                <w:lang w:eastAsia="es-ES"/>
                <w14:ligatures w14:val="none"/>
              </w:rPr>
              <w:t>Ganancias/Pérdidas Acumuladas</w:t>
            </w:r>
          </w:p>
        </w:tc>
        <w:tc>
          <w:tcPr>
            <w:tcW w:w="1240" w:type="dxa"/>
            <w:tcBorders>
              <w:top w:val="nil"/>
              <w:left w:val="nil"/>
              <w:bottom w:val="nil"/>
              <w:right w:val="nil"/>
            </w:tcBorders>
            <w:noWrap/>
            <w:vAlign w:val="bottom"/>
            <w:hideMark/>
          </w:tcPr>
          <w:p w14:paraId="21394006" w14:textId="77777777" w:rsidR="00C36168" w:rsidRPr="00023BEC" w:rsidRDefault="00C36168" w:rsidP="00F65AAC">
            <w:pPr>
              <w:spacing w:after="0" w:line="240" w:lineRule="auto"/>
              <w:jc w:val="right"/>
              <w:rPr>
                <w:rFonts w:ascii="Tahoma" w:eastAsia="Times New Roman" w:hAnsi="Tahoma" w:cs="Tahoma"/>
                <w:color w:val="000000"/>
                <w:kern w:val="0"/>
                <w:lang w:eastAsia="es-ES"/>
                <w14:ligatures w14:val="none"/>
              </w:rPr>
            </w:pPr>
            <w:r w:rsidRPr="00023BEC">
              <w:rPr>
                <w:rFonts w:ascii="Tahoma" w:eastAsia="Times New Roman" w:hAnsi="Tahoma" w:cs="Tahoma"/>
                <w:color w:val="000000"/>
                <w:kern w:val="0"/>
                <w:lang w:eastAsia="es-ES"/>
                <w14:ligatures w14:val="none"/>
              </w:rPr>
              <w:t>-1.</w:t>
            </w:r>
            <w:r>
              <w:rPr>
                <w:rFonts w:ascii="Tahoma" w:eastAsia="Times New Roman" w:hAnsi="Tahoma" w:cs="Tahoma"/>
                <w:color w:val="000000"/>
                <w:kern w:val="0"/>
                <w:lang w:eastAsia="es-ES"/>
                <w14:ligatures w14:val="none"/>
              </w:rPr>
              <w:t>379</w:t>
            </w:r>
          </w:p>
        </w:tc>
      </w:tr>
      <w:tr w:rsidR="00C36168" w:rsidRPr="00023BEC" w14:paraId="0247184F" w14:textId="77777777" w:rsidTr="00F65AAC">
        <w:trPr>
          <w:trHeight w:val="285"/>
        </w:trPr>
        <w:tc>
          <w:tcPr>
            <w:tcW w:w="3280" w:type="dxa"/>
            <w:tcBorders>
              <w:top w:val="nil"/>
              <w:left w:val="nil"/>
              <w:bottom w:val="nil"/>
              <w:right w:val="nil"/>
            </w:tcBorders>
            <w:noWrap/>
            <w:vAlign w:val="bottom"/>
            <w:hideMark/>
          </w:tcPr>
          <w:p w14:paraId="11586D2B" w14:textId="77777777" w:rsidR="00C36168" w:rsidRPr="00023BEC" w:rsidRDefault="00C36168" w:rsidP="00F65AAC">
            <w:pPr>
              <w:spacing w:after="0" w:line="240" w:lineRule="auto"/>
              <w:rPr>
                <w:rFonts w:ascii="Tahoma" w:eastAsia="Times New Roman" w:hAnsi="Tahoma" w:cs="Tahoma"/>
                <w:color w:val="000000"/>
                <w:kern w:val="0"/>
                <w:lang w:eastAsia="es-ES"/>
                <w14:ligatures w14:val="none"/>
              </w:rPr>
            </w:pPr>
            <w:r w:rsidRPr="00023BEC">
              <w:rPr>
                <w:rFonts w:ascii="Tahoma" w:eastAsia="Times New Roman" w:hAnsi="Tahoma" w:cs="Tahoma"/>
                <w:color w:val="000000"/>
                <w:kern w:val="0"/>
                <w:lang w:eastAsia="es-ES"/>
                <w14:ligatures w14:val="none"/>
              </w:rPr>
              <w:t>Resultado del ejercicio</w:t>
            </w:r>
          </w:p>
        </w:tc>
        <w:tc>
          <w:tcPr>
            <w:tcW w:w="1240" w:type="dxa"/>
            <w:tcBorders>
              <w:top w:val="nil"/>
              <w:left w:val="nil"/>
              <w:bottom w:val="nil"/>
              <w:right w:val="nil"/>
            </w:tcBorders>
            <w:noWrap/>
            <w:vAlign w:val="bottom"/>
            <w:hideMark/>
          </w:tcPr>
          <w:p w14:paraId="0860BD34" w14:textId="77777777" w:rsidR="00C36168" w:rsidRPr="00023BEC" w:rsidRDefault="00C36168" w:rsidP="00F65AAC">
            <w:pPr>
              <w:spacing w:after="0" w:line="240" w:lineRule="auto"/>
              <w:jc w:val="right"/>
              <w:rPr>
                <w:rFonts w:ascii="Tahoma" w:eastAsia="Times New Roman" w:hAnsi="Tahoma" w:cs="Tahoma"/>
                <w:color w:val="000000"/>
                <w:kern w:val="0"/>
                <w:lang w:eastAsia="es-ES"/>
                <w14:ligatures w14:val="none"/>
              </w:rPr>
            </w:pPr>
            <w:r w:rsidRPr="00023BEC">
              <w:rPr>
                <w:rFonts w:ascii="Tahoma" w:eastAsia="Times New Roman" w:hAnsi="Tahoma" w:cs="Tahoma"/>
                <w:color w:val="000000"/>
                <w:kern w:val="0"/>
                <w:lang w:eastAsia="es-ES"/>
                <w14:ligatures w14:val="none"/>
              </w:rPr>
              <w:t>0</w:t>
            </w:r>
          </w:p>
        </w:tc>
      </w:tr>
      <w:tr w:rsidR="00C36168" w:rsidRPr="00023BEC" w14:paraId="3BE18EC2" w14:textId="77777777" w:rsidTr="00F65AAC">
        <w:trPr>
          <w:trHeight w:val="285"/>
        </w:trPr>
        <w:tc>
          <w:tcPr>
            <w:tcW w:w="3280" w:type="dxa"/>
            <w:tcBorders>
              <w:top w:val="nil"/>
              <w:left w:val="nil"/>
              <w:bottom w:val="nil"/>
              <w:right w:val="nil"/>
            </w:tcBorders>
            <w:noWrap/>
            <w:vAlign w:val="bottom"/>
            <w:hideMark/>
          </w:tcPr>
          <w:p w14:paraId="7C7C4CD0" w14:textId="77777777" w:rsidR="00C36168" w:rsidRPr="00023BEC" w:rsidRDefault="00C36168" w:rsidP="00F65AAC">
            <w:pPr>
              <w:spacing w:after="0" w:line="240" w:lineRule="auto"/>
              <w:rPr>
                <w:rFonts w:ascii="Tahoma" w:eastAsia="Times New Roman" w:hAnsi="Tahoma" w:cs="Tahoma"/>
                <w:color w:val="000000"/>
                <w:kern w:val="0"/>
                <w:lang w:eastAsia="es-ES"/>
                <w14:ligatures w14:val="none"/>
              </w:rPr>
            </w:pPr>
            <w:r w:rsidRPr="00023BEC">
              <w:rPr>
                <w:rFonts w:ascii="Tahoma" w:eastAsia="Times New Roman" w:hAnsi="Tahoma" w:cs="Tahoma"/>
                <w:color w:val="000000"/>
                <w:kern w:val="0"/>
                <w:lang w:eastAsia="es-ES"/>
                <w14:ligatures w14:val="none"/>
              </w:rPr>
              <w:t>Deducciones</w:t>
            </w:r>
          </w:p>
        </w:tc>
        <w:tc>
          <w:tcPr>
            <w:tcW w:w="1240" w:type="dxa"/>
            <w:tcBorders>
              <w:top w:val="nil"/>
              <w:left w:val="nil"/>
              <w:bottom w:val="nil"/>
              <w:right w:val="nil"/>
            </w:tcBorders>
            <w:noWrap/>
            <w:vAlign w:val="bottom"/>
            <w:hideMark/>
          </w:tcPr>
          <w:p w14:paraId="479BB7A8" w14:textId="77777777" w:rsidR="00C36168" w:rsidRPr="00023BEC" w:rsidRDefault="00C36168" w:rsidP="00F65AAC">
            <w:pPr>
              <w:spacing w:after="0" w:line="240" w:lineRule="auto"/>
              <w:jc w:val="right"/>
              <w:rPr>
                <w:rFonts w:ascii="Tahoma" w:eastAsia="Times New Roman" w:hAnsi="Tahoma" w:cs="Tahoma"/>
                <w:color w:val="000000"/>
                <w:kern w:val="0"/>
                <w:lang w:eastAsia="es-ES"/>
                <w14:ligatures w14:val="none"/>
              </w:rPr>
            </w:pPr>
            <w:r w:rsidRPr="00023BEC">
              <w:rPr>
                <w:rFonts w:ascii="Tahoma" w:eastAsia="Times New Roman" w:hAnsi="Tahoma" w:cs="Tahoma"/>
                <w:color w:val="000000"/>
                <w:kern w:val="0"/>
                <w:lang w:eastAsia="es-ES"/>
                <w14:ligatures w14:val="none"/>
              </w:rPr>
              <w:t>-5</w:t>
            </w:r>
            <w:r>
              <w:rPr>
                <w:rFonts w:ascii="Tahoma" w:eastAsia="Times New Roman" w:hAnsi="Tahoma" w:cs="Tahoma"/>
                <w:color w:val="000000"/>
                <w:kern w:val="0"/>
                <w:lang w:eastAsia="es-ES"/>
                <w14:ligatures w14:val="none"/>
              </w:rPr>
              <w:t>37</w:t>
            </w:r>
          </w:p>
        </w:tc>
      </w:tr>
      <w:tr w:rsidR="00C36168" w:rsidRPr="00023BEC" w14:paraId="651DDFD4" w14:textId="77777777" w:rsidTr="00F65AAC">
        <w:trPr>
          <w:trHeight w:val="300"/>
        </w:trPr>
        <w:tc>
          <w:tcPr>
            <w:tcW w:w="3280" w:type="dxa"/>
            <w:tcBorders>
              <w:top w:val="single" w:sz="4" w:space="0" w:color="auto"/>
              <w:left w:val="nil"/>
              <w:bottom w:val="double" w:sz="6" w:space="0" w:color="auto"/>
              <w:right w:val="nil"/>
            </w:tcBorders>
            <w:noWrap/>
            <w:vAlign w:val="bottom"/>
            <w:hideMark/>
          </w:tcPr>
          <w:p w14:paraId="572E8370" w14:textId="77777777" w:rsidR="00C36168" w:rsidRPr="00023BEC" w:rsidRDefault="00C36168" w:rsidP="00F65AAC">
            <w:pPr>
              <w:spacing w:after="0" w:line="240" w:lineRule="auto"/>
              <w:rPr>
                <w:rFonts w:ascii="Tahoma" w:eastAsia="Times New Roman" w:hAnsi="Tahoma" w:cs="Tahoma"/>
                <w:color w:val="000000"/>
                <w:kern w:val="0"/>
                <w:lang w:eastAsia="es-ES"/>
                <w14:ligatures w14:val="none"/>
              </w:rPr>
            </w:pPr>
            <w:r w:rsidRPr="00023BEC">
              <w:rPr>
                <w:rFonts w:ascii="Tahoma" w:eastAsia="Times New Roman" w:hAnsi="Tahoma" w:cs="Tahoma"/>
                <w:color w:val="000000"/>
                <w:kern w:val="0"/>
                <w:lang w:eastAsia="es-ES"/>
                <w14:ligatures w14:val="none"/>
              </w:rPr>
              <w:t>Total</w:t>
            </w:r>
          </w:p>
        </w:tc>
        <w:tc>
          <w:tcPr>
            <w:tcW w:w="1240" w:type="dxa"/>
            <w:tcBorders>
              <w:top w:val="single" w:sz="4" w:space="0" w:color="auto"/>
              <w:left w:val="nil"/>
              <w:bottom w:val="double" w:sz="6" w:space="0" w:color="auto"/>
              <w:right w:val="nil"/>
            </w:tcBorders>
            <w:noWrap/>
            <w:vAlign w:val="bottom"/>
            <w:hideMark/>
          </w:tcPr>
          <w:p w14:paraId="2E754D29" w14:textId="77777777" w:rsidR="00C36168" w:rsidRPr="00023BEC" w:rsidRDefault="00C36168" w:rsidP="00F65AAC">
            <w:pPr>
              <w:spacing w:after="0" w:line="240" w:lineRule="auto"/>
              <w:jc w:val="right"/>
              <w:rPr>
                <w:rFonts w:ascii="Tahoma" w:eastAsia="Times New Roman" w:hAnsi="Tahoma" w:cs="Tahoma"/>
                <w:color w:val="000000"/>
                <w:kern w:val="0"/>
                <w:lang w:eastAsia="es-ES"/>
                <w14:ligatures w14:val="none"/>
              </w:rPr>
            </w:pPr>
            <w:r>
              <w:rPr>
                <w:rFonts w:ascii="Tahoma" w:eastAsia="Times New Roman" w:hAnsi="Tahoma" w:cs="Tahoma"/>
                <w:color w:val="000000"/>
                <w:kern w:val="0"/>
                <w:lang w:eastAsia="es-ES"/>
                <w14:ligatures w14:val="none"/>
              </w:rPr>
              <w:t>9</w:t>
            </w:r>
            <w:r w:rsidRPr="00023BEC">
              <w:rPr>
                <w:rFonts w:ascii="Tahoma" w:eastAsia="Times New Roman" w:hAnsi="Tahoma" w:cs="Tahoma"/>
                <w:color w:val="000000"/>
                <w:kern w:val="0"/>
                <w:lang w:eastAsia="es-ES"/>
                <w14:ligatures w14:val="none"/>
              </w:rPr>
              <w:t>.</w:t>
            </w:r>
            <w:r>
              <w:rPr>
                <w:rFonts w:ascii="Tahoma" w:eastAsia="Times New Roman" w:hAnsi="Tahoma" w:cs="Tahoma"/>
                <w:color w:val="000000"/>
                <w:kern w:val="0"/>
                <w:lang w:eastAsia="es-ES"/>
                <w14:ligatures w14:val="none"/>
              </w:rPr>
              <w:t>078</w:t>
            </w:r>
          </w:p>
        </w:tc>
      </w:tr>
    </w:tbl>
    <w:p w14:paraId="4620C239" w14:textId="77777777" w:rsidR="00C36168" w:rsidRDefault="00C36168" w:rsidP="00C36168">
      <w:pPr>
        <w:autoSpaceDE w:val="0"/>
        <w:autoSpaceDN w:val="0"/>
        <w:adjustRightInd w:val="0"/>
        <w:spacing w:after="0" w:line="240" w:lineRule="auto"/>
        <w:jc w:val="both"/>
        <w:rPr>
          <w:rFonts w:ascii="Tahoma" w:hAnsi="Tahoma" w:cs="Tahoma"/>
          <w:color w:val="FFFFFF"/>
          <w:kern w:val="0"/>
        </w:rPr>
      </w:pPr>
      <w:r w:rsidRPr="00FF7433">
        <w:rPr>
          <w:rFonts w:ascii="Tahoma" w:hAnsi="Tahoma" w:cs="Tahoma"/>
          <w:color w:val="FFFFFF"/>
          <w:kern w:val="0"/>
        </w:rPr>
        <w:t>1 de diciembre 2010</w:t>
      </w:r>
    </w:p>
    <w:p w14:paraId="71C7E85C" w14:textId="77777777" w:rsidR="00C36168" w:rsidRDefault="00C36168" w:rsidP="00C36168">
      <w:pPr>
        <w:pStyle w:val="Default"/>
        <w:spacing w:after="120"/>
        <w:jc w:val="both"/>
        <w:rPr>
          <w:sz w:val="22"/>
          <w:szCs w:val="22"/>
        </w:rPr>
      </w:pPr>
      <w:r w:rsidRPr="00443892">
        <w:rPr>
          <w:b/>
          <w:bCs/>
          <w:color w:val="626A1A" w:themeColor="accent3" w:themeShade="80"/>
          <w:sz w:val="22"/>
          <w:szCs w:val="22"/>
        </w:rPr>
        <w:t>2.</w:t>
      </w:r>
      <w:r>
        <w:rPr>
          <w:b/>
          <w:bCs/>
          <w:color w:val="626A1A" w:themeColor="accent3" w:themeShade="80"/>
          <w:sz w:val="22"/>
          <w:szCs w:val="22"/>
        </w:rPr>
        <w:t>3</w:t>
      </w:r>
      <w:r w:rsidRPr="00443892">
        <w:rPr>
          <w:b/>
          <w:bCs/>
          <w:color w:val="626A1A" w:themeColor="accent3" w:themeShade="80"/>
          <w:sz w:val="22"/>
          <w:szCs w:val="22"/>
        </w:rPr>
        <w:t xml:space="preserve">. </w:t>
      </w:r>
      <w:r w:rsidRPr="002A0BA2">
        <w:rPr>
          <w:b/>
          <w:bCs/>
          <w:color w:val="626A1A" w:themeColor="accent3" w:themeShade="80"/>
          <w:sz w:val="22"/>
          <w:szCs w:val="22"/>
        </w:rPr>
        <w:t xml:space="preserve">Importe total de los recursos propios </w:t>
      </w:r>
      <w:r>
        <w:rPr>
          <w:b/>
          <w:bCs/>
          <w:color w:val="626A1A" w:themeColor="accent3" w:themeShade="80"/>
          <w:sz w:val="22"/>
          <w:szCs w:val="22"/>
        </w:rPr>
        <w:t>Nivel 2</w:t>
      </w:r>
    </w:p>
    <w:p w14:paraId="1D2A0198" w14:textId="77777777" w:rsidR="00C36168" w:rsidRPr="0055485A" w:rsidRDefault="00C36168" w:rsidP="00C36168">
      <w:pPr>
        <w:autoSpaceDE w:val="0"/>
        <w:autoSpaceDN w:val="0"/>
        <w:adjustRightInd w:val="0"/>
        <w:spacing w:after="0" w:line="240" w:lineRule="auto"/>
        <w:jc w:val="both"/>
        <w:rPr>
          <w:rFonts w:ascii="Tahoma" w:hAnsi="Tahoma" w:cs="Tahoma"/>
          <w:kern w:val="0"/>
        </w:rPr>
      </w:pPr>
      <w:r w:rsidRPr="0055485A">
        <w:rPr>
          <w:rFonts w:ascii="Tahoma" w:hAnsi="Tahoma" w:cs="Tahoma"/>
          <w:kern w:val="0"/>
        </w:rPr>
        <w:t>La entidad no dispone de recursos propios de Nivel 2</w:t>
      </w:r>
    </w:p>
    <w:p w14:paraId="6F8BD48C" w14:textId="77777777" w:rsidR="00C36168" w:rsidRDefault="00C36168" w:rsidP="00C36168">
      <w:pPr>
        <w:autoSpaceDE w:val="0"/>
        <w:autoSpaceDN w:val="0"/>
        <w:adjustRightInd w:val="0"/>
        <w:spacing w:after="0" w:line="240" w:lineRule="auto"/>
        <w:jc w:val="both"/>
        <w:rPr>
          <w:rFonts w:ascii="Tahoma" w:hAnsi="Tahoma" w:cs="Tahoma"/>
          <w:color w:val="FFFFFF"/>
          <w:kern w:val="0"/>
        </w:rPr>
      </w:pPr>
    </w:p>
    <w:p w14:paraId="6265DEC4" w14:textId="77777777" w:rsidR="00C36168" w:rsidRDefault="00C36168" w:rsidP="00C36168">
      <w:pPr>
        <w:pStyle w:val="Default"/>
        <w:spacing w:after="120"/>
        <w:jc w:val="both"/>
        <w:rPr>
          <w:b/>
          <w:bCs/>
          <w:color w:val="626A1A" w:themeColor="accent3" w:themeShade="80"/>
          <w:sz w:val="22"/>
          <w:szCs w:val="22"/>
        </w:rPr>
      </w:pPr>
      <w:r w:rsidRPr="00443892">
        <w:rPr>
          <w:b/>
          <w:bCs/>
          <w:color w:val="626A1A" w:themeColor="accent3" w:themeShade="80"/>
          <w:sz w:val="22"/>
          <w:szCs w:val="22"/>
        </w:rPr>
        <w:lastRenderedPageBreak/>
        <w:t>2.</w:t>
      </w:r>
      <w:r>
        <w:rPr>
          <w:b/>
          <w:bCs/>
          <w:color w:val="626A1A" w:themeColor="accent3" w:themeShade="80"/>
          <w:sz w:val="22"/>
          <w:szCs w:val="22"/>
        </w:rPr>
        <w:t>4</w:t>
      </w:r>
      <w:r w:rsidRPr="00443892">
        <w:rPr>
          <w:b/>
          <w:bCs/>
          <w:color w:val="626A1A" w:themeColor="accent3" w:themeShade="80"/>
          <w:sz w:val="22"/>
          <w:szCs w:val="22"/>
        </w:rPr>
        <w:t xml:space="preserve">. </w:t>
      </w:r>
      <w:r w:rsidRPr="002A0BA2">
        <w:rPr>
          <w:b/>
          <w:bCs/>
          <w:color w:val="626A1A" w:themeColor="accent3" w:themeShade="80"/>
          <w:sz w:val="22"/>
          <w:szCs w:val="22"/>
        </w:rPr>
        <w:t xml:space="preserve">Importe total de los recursos propios </w:t>
      </w:r>
      <w:r>
        <w:rPr>
          <w:b/>
          <w:bCs/>
          <w:color w:val="626A1A" w:themeColor="accent3" w:themeShade="80"/>
          <w:sz w:val="22"/>
          <w:szCs w:val="22"/>
        </w:rPr>
        <w:t>computables, netos de deducciones</w:t>
      </w:r>
    </w:p>
    <w:p w14:paraId="791FF238" w14:textId="77777777" w:rsidR="00C36168" w:rsidRDefault="00C36168" w:rsidP="00C36168">
      <w:pPr>
        <w:pStyle w:val="Default"/>
        <w:spacing w:after="120"/>
        <w:jc w:val="both"/>
        <w:rPr>
          <w:color w:val="auto"/>
          <w:sz w:val="22"/>
          <w:szCs w:val="22"/>
        </w:rPr>
      </w:pPr>
      <w:r w:rsidRPr="0055485A">
        <w:rPr>
          <w:color w:val="auto"/>
          <w:sz w:val="22"/>
          <w:szCs w:val="22"/>
        </w:rPr>
        <w:t xml:space="preserve">El importe total de recursos propios netos de deducciones asciende a </w:t>
      </w:r>
      <w:r>
        <w:rPr>
          <w:color w:val="auto"/>
          <w:sz w:val="22"/>
          <w:szCs w:val="22"/>
        </w:rPr>
        <w:t>9</w:t>
      </w:r>
      <w:r w:rsidRPr="0055485A">
        <w:rPr>
          <w:color w:val="auto"/>
          <w:sz w:val="22"/>
          <w:szCs w:val="22"/>
        </w:rPr>
        <w:t>.</w:t>
      </w:r>
      <w:r>
        <w:rPr>
          <w:color w:val="auto"/>
          <w:sz w:val="22"/>
          <w:szCs w:val="22"/>
        </w:rPr>
        <w:t>078</w:t>
      </w:r>
      <w:r w:rsidRPr="0055485A">
        <w:rPr>
          <w:color w:val="auto"/>
          <w:sz w:val="22"/>
          <w:szCs w:val="22"/>
        </w:rPr>
        <w:t xml:space="preserve"> miles de euros, que se reparten de la siguiente forma:</w:t>
      </w:r>
    </w:p>
    <w:p w14:paraId="599C598F" w14:textId="77777777" w:rsidR="00C36168" w:rsidRDefault="00C36168" w:rsidP="00C36168">
      <w:pPr>
        <w:pStyle w:val="Default"/>
        <w:spacing w:after="120"/>
        <w:jc w:val="both"/>
        <w:rPr>
          <w:color w:val="auto"/>
          <w:sz w:val="22"/>
          <w:szCs w:val="22"/>
        </w:rPr>
      </w:pPr>
    </w:p>
    <w:tbl>
      <w:tblPr>
        <w:tblW w:w="4520" w:type="dxa"/>
        <w:tblCellMar>
          <w:left w:w="70" w:type="dxa"/>
          <w:right w:w="70" w:type="dxa"/>
        </w:tblCellMar>
        <w:tblLook w:val="04A0" w:firstRow="1" w:lastRow="0" w:firstColumn="1" w:lastColumn="0" w:noHBand="0" w:noVBand="1"/>
      </w:tblPr>
      <w:tblGrid>
        <w:gridCol w:w="3280"/>
        <w:gridCol w:w="1270"/>
      </w:tblGrid>
      <w:tr w:rsidR="00C36168" w:rsidRPr="00023BEC" w14:paraId="425B05EC" w14:textId="77777777" w:rsidTr="00F65AAC">
        <w:trPr>
          <w:trHeight w:val="285"/>
        </w:trPr>
        <w:tc>
          <w:tcPr>
            <w:tcW w:w="3280" w:type="dxa"/>
            <w:tcBorders>
              <w:top w:val="nil"/>
              <w:left w:val="nil"/>
              <w:bottom w:val="nil"/>
              <w:right w:val="nil"/>
            </w:tcBorders>
            <w:noWrap/>
            <w:vAlign w:val="bottom"/>
            <w:hideMark/>
          </w:tcPr>
          <w:p w14:paraId="5E24AFAB" w14:textId="77777777" w:rsidR="00C36168" w:rsidRPr="00023BEC" w:rsidRDefault="00C36168" w:rsidP="00F65AAC">
            <w:pPr>
              <w:spacing w:after="0" w:line="240" w:lineRule="auto"/>
              <w:rPr>
                <w:rFonts w:ascii="Times New Roman" w:eastAsia="Times New Roman" w:hAnsi="Times New Roman" w:cs="Times New Roman"/>
                <w:kern w:val="0"/>
                <w:sz w:val="24"/>
                <w:szCs w:val="24"/>
                <w:lang w:eastAsia="es-ES"/>
                <w14:ligatures w14:val="none"/>
              </w:rPr>
            </w:pPr>
          </w:p>
        </w:tc>
        <w:tc>
          <w:tcPr>
            <w:tcW w:w="1240" w:type="dxa"/>
            <w:tcBorders>
              <w:top w:val="nil"/>
              <w:left w:val="nil"/>
              <w:bottom w:val="nil"/>
              <w:right w:val="nil"/>
            </w:tcBorders>
            <w:noWrap/>
            <w:vAlign w:val="bottom"/>
            <w:hideMark/>
          </w:tcPr>
          <w:p w14:paraId="40742277" w14:textId="77777777" w:rsidR="00C36168" w:rsidRPr="00023BEC" w:rsidRDefault="00C36168" w:rsidP="00F65AAC">
            <w:pPr>
              <w:spacing w:after="0" w:line="240" w:lineRule="auto"/>
              <w:jc w:val="right"/>
              <w:rPr>
                <w:rFonts w:ascii="Tahoma" w:eastAsia="Times New Roman" w:hAnsi="Tahoma" w:cs="Tahoma"/>
                <w:color w:val="000000"/>
                <w:kern w:val="0"/>
                <w:lang w:eastAsia="es-ES"/>
                <w14:ligatures w14:val="none"/>
              </w:rPr>
            </w:pPr>
            <w:r w:rsidRPr="00023BEC">
              <w:rPr>
                <w:rFonts w:ascii="Tahoma" w:eastAsia="Times New Roman" w:hAnsi="Tahoma" w:cs="Tahoma"/>
                <w:color w:val="000000"/>
                <w:kern w:val="0"/>
                <w:lang w:eastAsia="es-ES"/>
                <w14:ligatures w14:val="none"/>
              </w:rPr>
              <w:t>31/12/202</w:t>
            </w:r>
            <w:r>
              <w:rPr>
                <w:rFonts w:ascii="Tahoma" w:eastAsia="Times New Roman" w:hAnsi="Tahoma" w:cs="Tahoma"/>
                <w:color w:val="000000"/>
                <w:kern w:val="0"/>
                <w:lang w:eastAsia="es-ES"/>
                <w14:ligatures w14:val="none"/>
              </w:rPr>
              <w:t>5</w:t>
            </w:r>
          </w:p>
        </w:tc>
      </w:tr>
      <w:tr w:rsidR="00C36168" w:rsidRPr="00023BEC" w14:paraId="085B5070" w14:textId="77777777" w:rsidTr="00F65AAC">
        <w:trPr>
          <w:trHeight w:val="300"/>
        </w:trPr>
        <w:tc>
          <w:tcPr>
            <w:tcW w:w="3280" w:type="dxa"/>
            <w:tcBorders>
              <w:top w:val="nil"/>
              <w:left w:val="nil"/>
              <w:bottom w:val="double" w:sz="6" w:space="0" w:color="auto"/>
              <w:right w:val="nil"/>
            </w:tcBorders>
            <w:noWrap/>
            <w:vAlign w:val="bottom"/>
            <w:hideMark/>
          </w:tcPr>
          <w:p w14:paraId="38FF0EA5" w14:textId="77777777" w:rsidR="00C36168" w:rsidRPr="00023BEC" w:rsidRDefault="00C36168" w:rsidP="00F65AAC">
            <w:pPr>
              <w:spacing w:after="0" w:line="240" w:lineRule="auto"/>
              <w:rPr>
                <w:rFonts w:ascii="Tahoma" w:eastAsia="Times New Roman" w:hAnsi="Tahoma" w:cs="Tahoma"/>
                <w:color w:val="000000"/>
                <w:kern w:val="0"/>
                <w:lang w:eastAsia="es-ES"/>
                <w14:ligatures w14:val="none"/>
              </w:rPr>
            </w:pPr>
            <w:r w:rsidRPr="00023BEC">
              <w:rPr>
                <w:rFonts w:ascii="Tahoma" w:eastAsia="Times New Roman" w:hAnsi="Tahoma" w:cs="Tahoma"/>
                <w:color w:val="000000"/>
                <w:kern w:val="0"/>
                <w:lang w:eastAsia="es-ES"/>
                <w14:ligatures w14:val="none"/>
              </w:rPr>
              <w:t>Recursos Propios Totales</w:t>
            </w:r>
          </w:p>
        </w:tc>
        <w:tc>
          <w:tcPr>
            <w:tcW w:w="1240" w:type="dxa"/>
            <w:tcBorders>
              <w:top w:val="nil"/>
              <w:left w:val="nil"/>
              <w:bottom w:val="double" w:sz="6" w:space="0" w:color="auto"/>
              <w:right w:val="nil"/>
            </w:tcBorders>
            <w:noWrap/>
            <w:vAlign w:val="bottom"/>
            <w:hideMark/>
          </w:tcPr>
          <w:p w14:paraId="2BE1969A" w14:textId="77777777" w:rsidR="00C36168" w:rsidRPr="00023BEC" w:rsidRDefault="00C36168" w:rsidP="00F65AAC">
            <w:pPr>
              <w:spacing w:after="0" w:line="240" w:lineRule="auto"/>
              <w:rPr>
                <w:rFonts w:ascii="Tahoma" w:eastAsia="Times New Roman" w:hAnsi="Tahoma" w:cs="Tahoma"/>
                <w:color w:val="000000"/>
                <w:kern w:val="0"/>
                <w:lang w:eastAsia="es-ES"/>
                <w14:ligatures w14:val="none"/>
              </w:rPr>
            </w:pPr>
            <w:r w:rsidRPr="00023BEC">
              <w:rPr>
                <w:rFonts w:ascii="Tahoma" w:eastAsia="Times New Roman" w:hAnsi="Tahoma" w:cs="Tahoma"/>
                <w:color w:val="000000"/>
                <w:kern w:val="0"/>
                <w:lang w:eastAsia="es-ES"/>
                <w14:ligatures w14:val="none"/>
              </w:rPr>
              <w:t>Miles de €</w:t>
            </w:r>
          </w:p>
        </w:tc>
      </w:tr>
      <w:tr w:rsidR="00C36168" w:rsidRPr="00023BEC" w14:paraId="7B080483" w14:textId="77777777" w:rsidTr="00F65AAC">
        <w:trPr>
          <w:trHeight w:val="300"/>
        </w:trPr>
        <w:tc>
          <w:tcPr>
            <w:tcW w:w="3280" w:type="dxa"/>
            <w:tcBorders>
              <w:top w:val="nil"/>
              <w:left w:val="nil"/>
              <w:bottom w:val="nil"/>
              <w:right w:val="nil"/>
            </w:tcBorders>
            <w:noWrap/>
            <w:vAlign w:val="bottom"/>
            <w:hideMark/>
          </w:tcPr>
          <w:p w14:paraId="32299EE5" w14:textId="77777777" w:rsidR="00C36168" w:rsidRPr="00023BEC" w:rsidRDefault="00C36168" w:rsidP="00F65AAC">
            <w:pPr>
              <w:spacing w:after="0" w:line="240" w:lineRule="auto"/>
              <w:rPr>
                <w:rFonts w:ascii="Tahoma" w:eastAsia="Times New Roman" w:hAnsi="Tahoma" w:cs="Tahoma"/>
                <w:color w:val="000000"/>
                <w:kern w:val="0"/>
                <w:lang w:eastAsia="es-ES"/>
                <w14:ligatures w14:val="none"/>
              </w:rPr>
            </w:pPr>
            <w:r w:rsidRPr="00023BEC">
              <w:rPr>
                <w:rFonts w:ascii="Tahoma" w:eastAsia="Times New Roman" w:hAnsi="Tahoma" w:cs="Tahoma"/>
                <w:color w:val="000000"/>
                <w:kern w:val="0"/>
                <w:lang w:eastAsia="es-ES"/>
                <w14:ligatures w14:val="none"/>
              </w:rPr>
              <w:t>Capital Social</w:t>
            </w:r>
          </w:p>
        </w:tc>
        <w:tc>
          <w:tcPr>
            <w:tcW w:w="1240" w:type="dxa"/>
            <w:tcBorders>
              <w:top w:val="nil"/>
              <w:left w:val="nil"/>
              <w:bottom w:val="nil"/>
              <w:right w:val="nil"/>
            </w:tcBorders>
            <w:noWrap/>
            <w:vAlign w:val="bottom"/>
            <w:hideMark/>
          </w:tcPr>
          <w:p w14:paraId="01C1989A" w14:textId="77777777" w:rsidR="00C36168" w:rsidRPr="00023BEC" w:rsidRDefault="00C36168" w:rsidP="00F65AAC">
            <w:pPr>
              <w:spacing w:after="0" w:line="240" w:lineRule="auto"/>
              <w:jc w:val="right"/>
              <w:rPr>
                <w:rFonts w:ascii="Tahoma" w:eastAsia="Times New Roman" w:hAnsi="Tahoma" w:cs="Tahoma"/>
                <w:color w:val="000000"/>
                <w:kern w:val="0"/>
                <w:lang w:eastAsia="es-ES"/>
                <w14:ligatures w14:val="none"/>
              </w:rPr>
            </w:pPr>
            <w:r>
              <w:rPr>
                <w:rFonts w:ascii="Tahoma" w:eastAsia="Times New Roman" w:hAnsi="Tahoma" w:cs="Tahoma"/>
                <w:color w:val="000000"/>
                <w:kern w:val="0"/>
                <w:lang w:eastAsia="es-ES"/>
                <w14:ligatures w14:val="none"/>
              </w:rPr>
              <w:t>11</w:t>
            </w:r>
            <w:r w:rsidRPr="00023BEC">
              <w:rPr>
                <w:rFonts w:ascii="Tahoma" w:eastAsia="Times New Roman" w:hAnsi="Tahoma" w:cs="Tahoma"/>
                <w:color w:val="000000"/>
                <w:kern w:val="0"/>
                <w:lang w:eastAsia="es-ES"/>
                <w14:ligatures w14:val="none"/>
              </w:rPr>
              <w:t>.000</w:t>
            </w:r>
          </w:p>
        </w:tc>
      </w:tr>
      <w:tr w:rsidR="00C36168" w:rsidRPr="00023BEC" w14:paraId="76A03EBD" w14:textId="77777777" w:rsidTr="00F65AAC">
        <w:trPr>
          <w:trHeight w:val="285"/>
        </w:trPr>
        <w:tc>
          <w:tcPr>
            <w:tcW w:w="3280" w:type="dxa"/>
            <w:tcBorders>
              <w:top w:val="nil"/>
              <w:left w:val="nil"/>
              <w:bottom w:val="nil"/>
              <w:right w:val="nil"/>
            </w:tcBorders>
            <w:noWrap/>
            <w:vAlign w:val="bottom"/>
            <w:hideMark/>
          </w:tcPr>
          <w:p w14:paraId="7DA21B1C" w14:textId="77777777" w:rsidR="00C36168" w:rsidRPr="00023BEC" w:rsidRDefault="00C36168" w:rsidP="00F65AAC">
            <w:pPr>
              <w:spacing w:after="0" w:line="240" w:lineRule="auto"/>
              <w:rPr>
                <w:rFonts w:ascii="Tahoma" w:eastAsia="Times New Roman" w:hAnsi="Tahoma" w:cs="Tahoma"/>
                <w:color w:val="000000"/>
                <w:kern w:val="0"/>
                <w:lang w:eastAsia="es-ES"/>
                <w14:ligatures w14:val="none"/>
              </w:rPr>
            </w:pPr>
            <w:r w:rsidRPr="00023BEC">
              <w:rPr>
                <w:rFonts w:ascii="Tahoma" w:eastAsia="Times New Roman" w:hAnsi="Tahoma" w:cs="Tahoma"/>
                <w:color w:val="000000"/>
                <w:kern w:val="0"/>
                <w:lang w:eastAsia="es-ES"/>
                <w14:ligatures w14:val="none"/>
              </w:rPr>
              <w:t>Reservas</w:t>
            </w:r>
          </w:p>
        </w:tc>
        <w:tc>
          <w:tcPr>
            <w:tcW w:w="1240" w:type="dxa"/>
            <w:tcBorders>
              <w:top w:val="nil"/>
              <w:left w:val="nil"/>
              <w:bottom w:val="nil"/>
              <w:right w:val="nil"/>
            </w:tcBorders>
            <w:noWrap/>
            <w:vAlign w:val="bottom"/>
            <w:hideMark/>
          </w:tcPr>
          <w:p w14:paraId="4EF70C50" w14:textId="77777777" w:rsidR="00C36168" w:rsidRPr="00023BEC" w:rsidRDefault="00C36168" w:rsidP="00F65AAC">
            <w:pPr>
              <w:spacing w:after="0" w:line="240" w:lineRule="auto"/>
              <w:jc w:val="right"/>
              <w:rPr>
                <w:rFonts w:ascii="Tahoma" w:eastAsia="Times New Roman" w:hAnsi="Tahoma" w:cs="Tahoma"/>
                <w:color w:val="000000"/>
                <w:kern w:val="0"/>
                <w:lang w:eastAsia="es-ES"/>
                <w14:ligatures w14:val="none"/>
              </w:rPr>
            </w:pPr>
            <w:r w:rsidRPr="00023BEC">
              <w:rPr>
                <w:rFonts w:ascii="Tahoma" w:eastAsia="Times New Roman" w:hAnsi="Tahoma" w:cs="Tahoma"/>
                <w:color w:val="000000"/>
                <w:kern w:val="0"/>
                <w:lang w:eastAsia="es-ES"/>
                <w14:ligatures w14:val="none"/>
              </w:rPr>
              <w:t>-5</w:t>
            </w:r>
          </w:p>
        </w:tc>
      </w:tr>
      <w:tr w:rsidR="00C36168" w:rsidRPr="00023BEC" w14:paraId="2091323A" w14:textId="77777777" w:rsidTr="00F65AAC">
        <w:trPr>
          <w:trHeight w:val="285"/>
        </w:trPr>
        <w:tc>
          <w:tcPr>
            <w:tcW w:w="3280" w:type="dxa"/>
            <w:tcBorders>
              <w:top w:val="nil"/>
              <w:left w:val="nil"/>
              <w:bottom w:val="nil"/>
              <w:right w:val="nil"/>
            </w:tcBorders>
            <w:noWrap/>
            <w:vAlign w:val="bottom"/>
            <w:hideMark/>
          </w:tcPr>
          <w:p w14:paraId="7C93C527" w14:textId="77777777" w:rsidR="00C36168" w:rsidRPr="00023BEC" w:rsidRDefault="00C36168" w:rsidP="00F65AAC">
            <w:pPr>
              <w:spacing w:after="0" w:line="240" w:lineRule="auto"/>
              <w:rPr>
                <w:rFonts w:ascii="Tahoma" w:eastAsia="Times New Roman" w:hAnsi="Tahoma" w:cs="Tahoma"/>
                <w:color w:val="000000"/>
                <w:kern w:val="0"/>
                <w:lang w:eastAsia="es-ES"/>
                <w14:ligatures w14:val="none"/>
              </w:rPr>
            </w:pPr>
            <w:r w:rsidRPr="00023BEC">
              <w:rPr>
                <w:rFonts w:ascii="Tahoma" w:eastAsia="Times New Roman" w:hAnsi="Tahoma" w:cs="Tahoma"/>
                <w:color w:val="000000"/>
                <w:kern w:val="0"/>
                <w:lang w:eastAsia="es-ES"/>
                <w14:ligatures w14:val="none"/>
              </w:rPr>
              <w:t>Ganancias/Pérdidas Acumuladas</w:t>
            </w:r>
          </w:p>
        </w:tc>
        <w:tc>
          <w:tcPr>
            <w:tcW w:w="1240" w:type="dxa"/>
            <w:tcBorders>
              <w:top w:val="nil"/>
              <w:left w:val="nil"/>
              <w:bottom w:val="nil"/>
              <w:right w:val="nil"/>
            </w:tcBorders>
            <w:noWrap/>
            <w:vAlign w:val="bottom"/>
            <w:hideMark/>
          </w:tcPr>
          <w:p w14:paraId="4BFF69F8" w14:textId="77777777" w:rsidR="00C36168" w:rsidRPr="00023BEC" w:rsidRDefault="00C36168" w:rsidP="00F65AAC">
            <w:pPr>
              <w:spacing w:after="0" w:line="240" w:lineRule="auto"/>
              <w:jc w:val="right"/>
              <w:rPr>
                <w:rFonts w:ascii="Tahoma" w:eastAsia="Times New Roman" w:hAnsi="Tahoma" w:cs="Tahoma"/>
                <w:color w:val="000000"/>
                <w:kern w:val="0"/>
                <w:lang w:eastAsia="es-ES"/>
                <w14:ligatures w14:val="none"/>
              </w:rPr>
            </w:pPr>
            <w:r w:rsidRPr="00023BEC">
              <w:rPr>
                <w:rFonts w:ascii="Tahoma" w:eastAsia="Times New Roman" w:hAnsi="Tahoma" w:cs="Tahoma"/>
                <w:color w:val="000000"/>
                <w:kern w:val="0"/>
                <w:lang w:eastAsia="es-ES"/>
                <w14:ligatures w14:val="none"/>
              </w:rPr>
              <w:t>-1.</w:t>
            </w:r>
            <w:r>
              <w:rPr>
                <w:rFonts w:ascii="Tahoma" w:eastAsia="Times New Roman" w:hAnsi="Tahoma" w:cs="Tahoma"/>
                <w:color w:val="000000"/>
                <w:kern w:val="0"/>
                <w:lang w:eastAsia="es-ES"/>
                <w14:ligatures w14:val="none"/>
              </w:rPr>
              <w:t>379</w:t>
            </w:r>
          </w:p>
        </w:tc>
      </w:tr>
      <w:tr w:rsidR="00C36168" w:rsidRPr="00023BEC" w14:paraId="6AF1997C" w14:textId="77777777" w:rsidTr="00F65AAC">
        <w:trPr>
          <w:trHeight w:val="285"/>
        </w:trPr>
        <w:tc>
          <w:tcPr>
            <w:tcW w:w="3280" w:type="dxa"/>
            <w:tcBorders>
              <w:top w:val="nil"/>
              <w:left w:val="nil"/>
              <w:bottom w:val="nil"/>
              <w:right w:val="nil"/>
            </w:tcBorders>
            <w:noWrap/>
            <w:vAlign w:val="bottom"/>
            <w:hideMark/>
          </w:tcPr>
          <w:p w14:paraId="7D409A75" w14:textId="77777777" w:rsidR="00C36168" w:rsidRPr="00023BEC" w:rsidRDefault="00C36168" w:rsidP="00F65AAC">
            <w:pPr>
              <w:spacing w:after="0" w:line="240" w:lineRule="auto"/>
              <w:rPr>
                <w:rFonts w:ascii="Tahoma" w:eastAsia="Times New Roman" w:hAnsi="Tahoma" w:cs="Tahoma"/>
                <w:color w:val="000000"/>
                <w:kern w:val="0"/>
                <w:lang w:eastAsia="es-ES"/>
                <w14:ligatures w14:val="none"/>
              </w:rPr>
            </w:pPr>
            <w:r w:rsidRPr="00023BEC">
              <w:rPr>
                <w:rFonts w:ascii="Tahoma" w:eastAsia="Times New Roman" w:hAnsi="Tahoma" w:cs="Tahoma"/>
                <w:color w:val="000000"/>
                <w:kern w:val="0"/>
                <w:lang w:eastAsia="es-ES"/>
                <w14:ligatures w14:val="none"/>
              </w:rPr>
              <w:t>Resultado del ejercicio</w:t>
            </w:r>
          </w:p>
        </w:tc>
        <w:tc>
          <w:tcPr>
            <w:tcW w:w="1240" w:type="dxa"/>
            <w:tcBorders>
              <w:top w:val="nil"/>
              <w:left w:val="nil"/>
              <w:bottom w:val="nil"/>
              <w:right w:val="nil"/>
            </w:tcBorders>
            <w:noWrap/>
            <w:vAlign w:val="bottom"/>
            <w:hideMark/>
          </w:tcPr>
          <w:p w14:paraId="32726DF8" w14:textId="77777777" w:rsidR="00C36168" w:rsidRPr="00023BEC" w:rsidRDefault="00C36168" w:rsidP="00F65AAC">
            <w:pPr>
              <w:spacing w:after="0" w:line="240" w:lineRule="auto"/>
              <w:jc w:val="right"/>
              <w:rPr>
                <w:rFonts w:ascii="Tahoma" w:eastAsia="Times New Roman" w:hAnsi="Tahoma" w:cs="Tahoma"/>
                <w:color w:val="000000"/>
                <w:kern w:val="0"/>
                <w:lang w:eastAsia="es-ES"/>
                <w14:ligatures w14:val="none"/>
              </w:rPr>
            </w:pPr>
            <w:r w:rsidRPr="00023BEC">
              <w:rPr>
                <w:rFonts w:ascii="Tahoma" w:eastAsia="Times New Roman" w:hAnsi="Tahoma" w:cs="Tahoma"/>
                <w:color w:val="000000"/>
                <w:kern w:val="0"/>
                <w:lang w:eastAsia="es-ES"/>
                <w14:ligatures w14:val="none"/>
              </w:rPr>
              <w:t>0</w:t>
            </w:r>
          </w:p>
        </w:tc>
      </w:tr>
      <w:tr w:rsidR="00C36168" w:rsidRPr="00023BEC" w14:paraId="24C69AF1" w14:textId="77777777" w:rsidTr="00F65AAC">
        <w:trPr>
          <w:trHeight w:val="285"/>
        </w:trPr>
        <w:tc>
          <w:tcPr>
            <w:tcW w:w="3280" w:type="dxa"/>
            <w:tcBorders>
              <w:top w:val="nil"/>
              <w:left w:val="nil"/>
              <w:bottom w:val="nil"/>
              <w:right w:val="nil"/>
            </w:tcBorders>
            <w:noWrap/>
            <w:vAlign w:val="bottom"/>
            <w:hideMark/>
          </w:tcPr>
          <w:p w14:paraId="519A1472" w14:textId="77777777" w:rsidR="00C36168" w:rsidRPr="00023BEC" w:rsidRDefault="00C36168" w:rsidP="00F65AAC">
            <w:pPr>
              <w:spacing w:after="0" w:line="240" w:lineRule="auto"/>
              <w:rPr>
                <w:rFonts w:ascii="Tahoma" w:eastAsia="Times New Roman" w:hAnsi="Tahoma" w:cs="Tahoma"/>
                <w:color w:val="000000"/>
                <w:kern w:val="0"/>
                <w:lang w:eastAsia="es-ES"/>
                <w14:ligatures w14:val="none"/>
              </w:rPr>
            </w:pPr>
            <w:r w:rsidRPr="00023BEC">
              <w:rPr>
                <w:rFonts w:ascii="Tahoma" w:eastAsia="Times New Roman" w:hAnsi="Tahoma" w:cs="Tahoma"/>
                <w:color w:val="000000"/>
                <w:kern w:val="0"/>
                <w:lang w:eastAsia="es-ES"/>
                <w14:ligatures w14:val="none"/>
              </w:rPr>
              <w:t>Deducciones</w:t>
            </w:r>
          </w:p>
        </w:tc>
        <w:tc>
          <w:tcPr>
            <w:tcW w:w="1240" w:type="dxa"/>
            <w:tcBorders>
              <w:top w:val="nil"/>
              <w:left w:val="nil"/>
              <w:bottom w:val="nil"/>
              <w:right w:val="nil"/>
            </w:tcBorders>
            <w:noWrap/>
            <w:vAlign w:val="bottom"/>
            <w:hideMark/>
          </w:tcPr>
          <w:p w14:paraId="1F0F308F" w14:textId="77777777" w:rsidR="00C36168" w:rsidRPr="00023BEC" w:rsidRDefault="00C36168" w:rsidP="00F65AAC">
            <w:pPr>
              <w:spacing w:after="0" w:line="240" w:lineRule="auto"/>
              <w:jc w:val="right"/>
              <w:rPr>
                <w:rFonts w:ascii="Tahoma" w:eastAsia="Times New Roman" w:hAnsi="Tahoma" w:cs="Tahoma"/>
                <w:color w:val="000000"/>
                <w:kern w:val="0"/>
                <w:lang w:eastAsia="es-ES"/>
                <w14:ligatures w14:val="none"/>
              </w:rPr>
            </w:pPr>
            <w:r w:rsidRPr="00023BEC">
              <w:rPr>
                <w:rFonts w:ascii="Tahoma" w:eastAsia="Times New Roman" w:hAnsi="Tahoma" w:cs="Tahoma"/>
                <w:color w:val="000000"/>
                <w:kern w:val="0"/>
                <w:lang w:eastAsia="es-ES"/>
                <w14:ligatures w14:val="none"/>
              </w:rPr>
              <w:t>-5</w:t>
            </w:r>
            <w:r>
              <w:rPr>
                <w:rFonts w:ascii="Tahoma" w:eastAsia="Times New Roman" w:hAnsi="Tahoma" w:cs="Tahoma"/>
                <w:color w:val="000000"/>
                <w:kern w:val="0"/>
                <w:lang w:eastAsia="es-ES"/>
                <w14:ligatures w14:val="none"/>
              </w:rPr>
              <w:t>3</w:t>
            </w:r>
            <w:r w:rsidRPr="00023BEC">
              <w:rPr>
                <w:rFonts w:ascii="Tahoma" w:eastAsia="Times New Roman" w:hAnsi="Tahoma" w:cs="Tahoma"/>
                <w:color w:val="000000"/>
                <w:kern w:val="0"/>
                <w:lang w:eastAsia="es-ES"/>
                <w14:ligatures w14:val="none"/>
              </w:rPr>
              <w:t>7</w:t>
            </w:r>
          </w:p>
        </w:tc>
      </w:tr>
      <w:tr w:rsidR="00C36168" w:rsidRPr="00023BEC" w14:paraId="4B5E047B" w14:textId="77777777" w:rsidTr="00F65AAC">
        <w:trPr>
          <w:trHeight w:val="300"/>
        </w:trPr>
        <w:tc>
          <w:tcPr>
            <w:tcW w:w="3280" w:type="dxa"/>
            <w:tcBorders>
              <w:top w:val="single" w:sz="4" w:space="0" w:color="auto"/>
              <w:left w:val="nil"/>
              <w:bottom w:val="double" w:sz="6" w:space="0" w:color="auto"/>
              <w:right w:val="nil"/>
            </w:tcBorders>
            <w:noWrap/>
            <w:vAlign w:val="bottom"/>
            <w:hideMark/>
          </w:tcPr>
          <w:p w14:paraId="7232E3D8" w14:textId="77777777" w:rsidR="00C36168" w:rsidRPr="00023BEC" w:rsidRDefault="00C36168" w:rsidP="00F65AAC">
            <w:pPr>
              <w:spacing w:after="0" w:line="240" w:lineRule="auto"/>
              <w:rPr>
                <w:rFonts w:ascii="Tahoma" w:eastAsia="Times New Roman" w:hAnsi="Tahoma" w:cs="Tahoma"/>
                <w:color w:val="000000"/>
                <w:kern w:val="0"/>
                <w:lang w:eastAsia="es-ES"/>
                <w14:ligatures w14:val="none"/>
              </w:rPr>
            </w:pPr>
            <w:r w:rsidRPr="00023BEC">
              <w:rPr>
                <w:rFonts w:ascii="Tahoma" w:eastAsia="Times New Roman" w:hAnsi="Tahoma" w:cs="Tahoma"/>
                <w:color w:val="000000"/>
                <w:kern w:val="0"/>
                <w:lang w:eastAsia="es-ES"/>
                <w14:ligatures w14:val="none"/>
              </w:rPr>
              <w:t>Total</w:t>
            </w:r>
          </w:p>
        </w:tc>
        <w:tc>
          <w:tcPr>
            <w:tcW w:w="1240" w:type="dxa"/>
            <w:tcBorders>
              <w:top w:val="single" w:sz="4" w:space="0" w:color="auto"/>
              <w:left w:val="nil"/>
              <w:bottom w:val="double" w:sz="6" w:space="0" w:color="auto"/>
              <w:right w:val="nil"/>
            </w:tcBorders>
            <w:noWrap/>
            <w:vAlign w:val="bottom"/>
            <w:hideMark/>
          </w:tcPr>
          <w:p w14:paraId="255BBC92" w14:textId="77777777" w:rsidR="00C36168" w:rsidRPr="00023BEC" w:rsidRDefault="00C36168" w:rsidP="00F65AAC">
            <w:pPr>
              <w:spacing w:after="0" w:line="240" w:lineRule="auto"/>
              <w:jc w:val="right"/>
              <w:rPr>
                <w:rFonts w:ascii="Tahoma" w:eastAsia="Times New Roman" w:hAnsi="Tahoma" w:cs="Tahoma"/>
                <w:color w:val="000000"/>
                <w:kern w:val="0"/>
                <w:lang w:eastAsia="es-ES"/>
                <w14:ligatures w14:val="none"/>
              </w:rPr>
            </w:pPr>
            <w:r>
              <w:rPr>
                <w:rFonts w:ascii="Tahoma" w:eastAsia="Times New Roman" w:hAnsi="Tahoma" w:cs="Tahoma"/>
                <w:color w:val="000000"/>
                <w:kern w:val="0"/>
                <w:lang w:eastAsia="es-ES"/>
                <w14:ligatures w14:val="none"/>
              </w:rPr>
              <w:t>9</w:t>
            </w:r>
            <w:r w:rsidRPr="00023BEC">
              <w:rPr>
                <w:rFonts w:ascii="Tahoma" w:eastAsia="Times New Roman" w:hAnsi="Tahoma" w:cs="Tahoma"/>
                <w:color w:val="000000"/>
                <w:kern w:val="0"/>
                <w:lang w:eastAsia="es-ES"/>
                <w14:ligatures w14:val="none"/>
              </w:rPr>
              <w:t>.</w:t>
            </w:r>
            <w:r>
              <w:rPr>
                <w:rFonts w:ascii="Tahoma" w:eastAsia="Times New Roman" w:hAnsi="Tahoma" w:cs="Tahoma"/>
                <w:color w:val="000000"/>
                <w:kern w:val="0"/>
                <w:lang w:eastAsia="es-ES"/>
                <w14:ligatures w14:val="none"/>
              </w:rPr>
              <w:t>078</w:t>
            </w:r>
          </w:p>
        </w:tc>
      </w:tr>
    </w:tbl>
    <w:p w14:paraId="70DEBB8C" w14:textId="77777777" w:rsidR="00C36168" w:rsidRDefault="00C36168" w:rsidP="00C36168">
      <w:pPr>
        <w:pStyle w:val="Default"/>
        <w:spacing w:after="120"/>
        <w:jc w:val="both"/>
        <w:rPr>
          <w:color w:val="auto"/>
          <w:sz w:val="22"/>
          <w:szCs w:val="22"/>
        </w:rPr>
      </w:pPr>
    </w:p>
    <w:p w14:paraId="2BCDD409" w14:textId="77777777" w:rsidR="00C36168" w:rsidRDefault="00C36168" w:rsidP="00C36168">
      <w:pPr>
        <w:pStyle w:val="Default"/>
        <w:spacing w:after="120"/>
        <w:jc w:val="both"/>
        <w:rPr>
          <w:b/>
          <w:bCs/>
          <w:color w:val="939F27" w:themeColor="accent3" w:themeShade="BF"/>
          <w:sz w:val="22"/>
          <w:szCs w:val="22"/>
        </w:rPr>
      </w:pPr>
      <w:r w:rsidRPr="00023BEC">
        <w:rPr>
          <w:b/>
          <w:bCs/>
          <w:color w:val="939F27" w:themeColor="accent3" w:themeShade="BF"/>
          <w:sz w:val="22"/>
          <w:szCs w:val="22"/>
        </w:rPr>
        <w:t>3. Requerimientos de recursos propios</w:t>
      </w:r>
    </w:p>
    <w:p w14:paraId="124C1F96" w14:textId="77777777" w:rsidR="00C36168" w:rsidRDefault="00C36168" w:rsidP="00C36168">
      <w:pPr>
        <w:pStyle w:val="Default"/>
        <w:spacing w:after="120"/>
        <w:jc w:val="both"/>
        <w:rPr>
          <w:b/>
          <w:bCs/>
          <w:color w:val="626A1A" w:themeColor="accent3" w:themeShade="80"/>
          <w:sz w:val="22"/>
          <w:szCs w:val="22"/>
        </w:rPr>
      </w:pPr>
      <w:r>
        <w:rPr>
          <w:b/>
          <w:bCs/>
          <w:color w:val="626A1A" w:themeColor="accent3" w:themeShade="80"/>
          <w:sz w:val="22"/>
          <w:szCs w:val="22"/>
        </w:rPr>
        <w:t>3</w:t>
      </w:r>
      <w:r w:rsidRPr="00443892">
        <w:rPr>
          <w:b/>
          <w:bCs/>
          <w:color w:val="626A1A" w:themeColor="accent3" w:themeShade="80"/>
          <w:sz w:val="22"/>
          <w:szCs w:val="22"/>
        </w:rPr>
        <w:t xml:space="preserve">.1. </w:t>
      </w:r>
      <w:r>
        <w:rPr>
          <w:b/>
          <w:bCs/>
          <w:color w:val="626A1A" w:themeColor="accent3" w:themeShade="80"/>
          <w:sz w:val="22"/>
          <w:szCs w:val="22"/>
        </w:rPr>
        <w:t>Importe de los requerimientos de recursos propios mínimos por riesgo de crédito</w:t>
      </w:r>
    </w:p>
    <w:p w14:paraId="0D646775" w14:textId="77777777" w:rsidR="00C36168" w:rsidRDefault="00C36168" w:rsidP="00C36168">
      <w:pPr>
        <w:pStyle w:val="Default"/>
        <w:spacing w:after="120"/>
        <w:jc w:val="both"/>
        <w:rPr>
          <w:sz w:val="22"/>
          <w:szCs w:val="22"/>
        </w:rPr>
      </w:pPr>
      <w:r w:rsidRPr="00FF7433">
        <w:rPr>
          <w:sz w:val="22"/>
          <w:szCs w:val="22"/>
        </w:rPr>
        <w:t>La opción utilizada para medir las necesidades de capital por riesgo de crédito es</w:t>
      </w:r>
      <w:r>
        <w:rPr>
          <w:sz w:val="22"/>
          <w:szCs w:val="22"/>
        </w:rPr>
        <w:t xml:space="preserve"> </w:t>
      </w:r>
      <w:r w:rsidRPr="00FF7433">
        <w:rPr>
          <w:sz w:val="22"/>
          <w:szCs w:val="22"/>
        </w:rPr>
        <w:t xml:space="preserve">el método estándar. </w:t>
      </w:r>
    </w:p>
    <w:p w14:paraId="5FE19C30" w14:textId="77777777" w:rsidR="00C36168" w:rsidRDefault="00C36168" w:rsidP="00C36168">
      <w:pPr>
        <w:pStyle w:val="Default"/>
        <w:spacing w:after="120"/>
        <w:jc w:val="both"/>
        <w:rPr>
          <w:sz w:val="22"/>
          <w:szCs w:val="22"/>
        </w:rPr>
      </w:pPr>
      <w:r w:rsidRPr="00FF7433">
        <w:rPr>
          <w:sz w:val="22"/>
          <w:szCs w:val="22"/>
        </w:rPr>
        <w:t>El importe de capital</w:t>
      </w:r>
      <w:r>
        <w:rPr>
          <w:sz w:val="22"/>
          <w:szCs w:val="22"/>
        </w:rPr>
        <w:t xml:space="preserve"> </w:t>
      </w:r>
      <w:r w:rsidRPr="00FF7433">
        <w:rPr>
          <w:sz w:val="22"/>
          <w:szCs w:val="22"/>
        </w:rPr>
        <w:t>necesario siguiendo esta metodología es el siguiente:</w:t>
      </w:r>
    </w:p>
    <w:tbl>
      <w:tblPr>
        <w:tblW w:w="9890" w:type="dxa"/>
        <w:tblInd w:w="-709" w:type="dxa"/>
        <w:tblCellMar>
          <w:left w:w="70" w:type="dxa"/>
          <w:right w:w="70" w:type="dxa"/>
        </w:tblCellMar>
        <w:tblLook w:val="04A0" w:firstRow="1" w:lastRow="0" w:firstColumn="1" w:lastColumn="0" w:noHBand="0" w:noVBand="1"/>
      </w:tblPr>
      <w:tblGrid>
        <w:gridCol w:w="1370"/>
        <w:gridCol w:w="1156"/>
        <w:gridCol w:w="1162"/>
        <w:gridCol w:w="1156"/>
        <w:gridCol w:w="1210"/>
        <w:gridCol w:w="1156"/>
        <w:gridCol w:w="1173"/>
        <w:gridCol w:w="1549"/>
      </w:tblGrid>
      <w:tr w:rsidR="00C36168" w:rsidRPr="007615DF" w14:paraId="15EF80CE" w14:textId="77777777" w:rsidTr="00F65AAC">
        <w:trPr>
          <w:trHeight w:val="690"/>
        </w:trPr>
        <w:tc>
          <w:tcPr>
            <w:tcW w:w="1370" w:type="dxa"/>
            <w:tcBorders>
              <w:top w:val="nil"/>
              <w:left w:val="nil"/>
              <w:bottom w:val="double" w:sz="6" w:space="0" w:color="auto"/>
              <w:right w:val="nil"/>
            </w:tcBorders>
            <w:noWrap/>
            <w:vAlign w:val="bottom"/>
            <w:hideMark/>
          </w:tcPr>
          <w:p w14:paraId="6D31CF7A" w14:textId="77777777" w:rsidR="00C36168" w:rsidRPr="007615DF" w:rsidRDefault="00C36168" w:rsidP="00F65AAC">
            <w:pPr>
              <w:spacing w:after="0" w:line="240" w:lineRule="auto"/>
              <w:jc w:val="center"/>
              <w:rPr>
                <w:rFonts w:ascii="Tahoma" w:eastAsia="Times New Roman" w:hAnsi="Tahoma" w:cs="Tahoma"/>
                <w:color w:val="000000"/>
                <w:kern w:val="0"/>
                <w:lang w:eastAsia="es-ES"/>
                <w14:ligatures w14:val="none"/>
              </w:rPr>
            </w:pPr>
            <w:r>
              <w:rPr>
                <w:rFonts w:ascii="Tahoma" w:eastAsia="Times New Roman" w:hAnsi="Tahoma" w:cs="Tahoma"/>
                <w:color w:val="000000"/>
                <w:kern w:val="0"/>
                <w:lang w:eastAsia="es-ES"/>
                <w14:ligatures w14:val="none"/>
              </w:rPr>
              <w:t xml:space="preserve">Tipo de </w:t>
            </w:r>
            <w:r w:rsidRPr="007615DF">
              <w:rPr>
                <w:rFonts w:ascii="Tahoma" w:eastAsia="Times New Roman" w:hAnsi="Tahoma" w:cs="Tahoma"/>
                <w:color w:val="000000"/>
                <w:kern w:val="0"/>
                <w:lang w:eastAsia="es-ES"/>
                <w14:ligatures w14:val="none"/>
              </w:rPr>
              <w:t>Exposiciones</w:t>
            </w:r>
          </w:p>
        </w:tc>
        <w:tc>
          <w:tcPr>
            <w:tcW w:w="1156" w:type="dxa"/>
            <w:tcBorders>
              <w:top w:val="nil"/>
              <w:left w:val="nil"/>
              <w:bottom w:val="double" w:sz="6" w:space="0" w:color="auto"/>
              <w:right w:val="nil"/>
            </w:tcBorders>
            <w:vAlign w:val="center"/>
            <w:hideMark/>
          </w:tcPr>
          <w:p w14:paraId="2AF166B2" w14:textId="77777777" w:rsidR="00C36168" w:rsidRPr="007615DF" w:rsidRDefault="00C36168" w:rsidP="00F65AAC">
            <w:pPr>
              <w:spacing w:after="0" w:line="240" w:lineRule="auto"/>
              <w:jc w:val="center"/>
              <w:rPr>
                <w:rFonts w:ascii="Tahoma" w:eastAsia="Times New Roman" w:hAnsi="Tahoma" w:cs="Tahoma"/>
                <w:color w:val="000000"/>
                <w:kern w:val="0"/>
                <w:lang w:eastAsia="es-ES"/>
                <w14:ligatures w14:val="none"/>
              </w:rPr>
            </w:pPr>
            <w:r w:rsidRPr="007615DF">
              <w:rPr>
                <w:rFonts w:ascii="Tahoma" w:eastAsia="Times New Roman" w:hAnsi="Tahoma" w:cs="Tahoma"/>
                <w:color w:val="000000"/>
                <w:kern w:val="0"/>
                <w:lang w:eastAsia="es-ES"/>
                <w14:ligatures w14:val="none"/>
              </w:rPr>
              <w:t>Exposición</w:t>
            </w:r>
          </w:p>
        </w:tc>
        <w:tc>
          <w:tcPr>
            <w:tcW w:w="1120" w:type="dxa"/>
            <w:tcBorders>
              <w:top w:val="nil"/>
              <w:left w:val="nil"/>
              <w:bottom w:val="double" w:sz="6" w:space="0" w:color="auto"/>
              <w:right w:val="nil"/>
            </w:tcBorders>
            <w:vAlign w:val="center"/>
            <w:hideMark/>
          </w:tcPr>
          <w:p w14:paraId="09FD7962" w14:textId="77777777" w:rsidR="00C36168" w:rsidRPr="007615DF" w:rsidRDefault="00C36168" w:rsidP="00F65AAC">
            <w:pPr>
              <w:spacing w:after="0" w:line="240" w:lineRule="auto"/>
              <w:jc w:val="center"/>
              <w:rPr>
                <w:rFonts w:ascii="Tahoma" w:eastAsia="Times New Roman" w:hAnsi="Tahoma" w:cs="Tahoma"/>
                <w:color w:val="000000"/>
                <w:kern w:val="0"/>
                <w:lang w:eastAsia="es-ES"/>
                <w14:ligatures w14:val="none"/>
              </w:rPr>
            </w:pPr>
            <w:r w:rsidRPr="007615DF">
              <w:rPr>
                <w:rFonts w:ascii="Tahoma" w:eastAsia="Times New Roman" w:hAnsi="Tahoma" w:cs="Tahoma"/>
                <w:color w:val="000000"/>
                <w:kern w:val="0"/>
                <w:lang w:eastAsia="es-ES"/>
                <w14:ligatures w14:val="none"/>
              </w:rPr>
              <w:t>Corre</w:t>
            </w:r>
            <w:r>
              <w:rPr>
                <w:rFonts w:ascii="Tahoma" w:eastAsia="Times New Roman" w:hAnsi="Tahoma" w:cs="Tahoma"/>
                <w:color w:val="000000"/>
                <w:kern w:val="0"/>
                <w:lang w:eastAsia="es-ES"/>
                <w14:ligatures w14:val="none"/>
              </w:rPr>
              <w:t>c</w:t>
            </w:r>
            <w:r w:rsidRPr="007615DF">
              <w:rPr>
                <w:rFonts w:ascii="Tahoma" w:eastAsia="Times New Roman" w:hAnsi="Tahoma" w:cs="Tahoma"/>
                <w:color w:val="000000"/>
                <w:kern w:val="0"/>
                <w:lang w:eastAsia="es-ES"/>
                <w14:ligatures w14:val="none"/>
              </w:rPr>
              <w:t>ción de Valor</w:t>
            </w:r>
          </w:p>
        </w:tc>
        <w:tc>
          <w:tcPr>
            <w:tcW w:w="1156" w:type="dxa"/>
            <w:tcBorders>
              <w:top w:val="nil"/>
              <w:left w:val="nil"/>
              <w:bottom w:val="double" w:sz="6" w:space="0" w:color="auto"/>
              <w:right w:val="nil"/>
            </w:tcBorders>
            <w:vAlign w:val="center"/>
            <w:hideMark/>
          </w:tcPr>
          <w:p w14:paraId="5C26595A" w14:textId="77777777" w:rsidR="00C36168" w:rsidRPr="007615DF" w:rsidRDefault="00C36168" w:rsidP="00F65AAC">
            <w:pPr>
              <w:spacing w:after="0" w:line="240" w:lineRule="auto"/>
              <w:jc w:val="center"/>
              <w:rPr>
                <w:rFonts w:ascii="Tahoma" w:eastAsia="Times New Roman" w:hAnsi="Tahoma" w:cs="Tahoma"/>
                <w:color w:val="000000"/>
                <w:kern w:val="0"/>
                <w:lang w:eastAsia="es-ES"/>
                <w14:ligatures w14:val="none"/>
              </w:rPr>
            </w:pPr>
            <w:r w:rsidRPr="007615DF">
              <w:rPr>
                <w:rFonts w:ascii="Tahoma" w:eastAsia="Times New Roman" w:hAnsi="Tahoma" w:cs="Tahoma"/>
                <w:color w:val="000000"/>
                <w:kern w:val="0"/>
                <w:lang w:eastAsia="es-ES"/>
                <w14:ligatures w14:val="none"/>
              </w:rPr>
              <w:t>Exposición Neta</w:t>
            </w:r>
          </w:p>
        </w:tc>
        <w:tc>
          <w:tcPr>
            <w:tcW w:w="1210" w:type="dxa"/>
            <w:tcBorders>
              <w:top w:val="nil"/>
              <w:left w:val="nil"/>
              <w:bottom w:val="double" w:sz="6" w:space="0" w:color="auto"/>
              <w:right w:val="nil"/>
            </w:tcBorders>
            <w:vAlign w:val="center"/>
            <w:hideMark/>
          </w:tcPr>
          <w:p w14:paraId="463EA6BD" w14:textId="77777777" w:rsidR="00C36168" w:rsidRPr="007615DF" w:rsidRDefault="00C36168" w:rsidP="00F65AAC">
            <w:pPr>
              <w:spacing w:after="0" w:line="240" w:lineRule="auto"/>
              <w:jc w:val="center"/>
              <w:rPr>
                <w:rFonts w:ascii="Tahoma" w:eastAsia="Times New Roman" w:hAnsi="Tahoma" w:cs="Tahoma"/>
                <w:color w:val="000000"/>
                <w:kern w:val="0"/>
                <w:lang w:eastAsia="es-ES"/>
                <w14:ligatures w14:val="none"/>
              </w:rPr>
            </w:pPr>
            <w:r w:rsidRPr="007615DF">
              <w:rPr>
                <w:rFonts w:ascii="Tahoma" w:eastAsia="Times New Roman" w:hAnsi="Tahoma" w:cs="Tahoma"/>
                <w:color w:val="000000"/>
                <w:kern w:val="0"/>
                <w:lang w:eastAsia="es-ES"/>
                <w14:ligatures w14:val="none"/>
              </w:rPr>
              <w:t>Factor Conversión</w:t>
            </w:r>
          </w:p>
        </w:tc>
        <w:tc>
          <w:tcPr>
            <w:tcW w:w="1156" w:type="dxa"/>
            <w:tcBorders>
              <w:top w:val="nil"/>
              <w:left w:val="nil"/>
              <w:bottom w:val="double" w:sz="6" w:space="0" w:color="auto"/>
              <w:right w:val="nil"/>
            </w:tcBorders>
            <w:vAlign w:val="center"/>
            <w:hideMark/>
          </w:tcPr>
          <w:p w14:paraId="6C8F80B7" w14:textId="77777777" w:rsidR="00C36168" w:rsidRPr="007615DF" w:rsidRDefault="00C36168" w:rsidP="00F65AAC">
            <w:pPr>
              <w:spacing w:after="0" w:line="240" w:lineRule="auto"/>
              <w:jc w:val="center"/>
              <w:rPr>
                <w:rFonts w:ascii="Tahoma" w:eastAsia="Times New Roman" w:hAnsi="Tahoma" w:cs="Tahoma"/>
                <w:color w:val="000000"/>
                <w:kern w:val="0"/>
                <w:lang w:eastAsia="es-ES"/>
                <w14:ligatures w14:val="none"/>
              </w:rPr>
            </w:pPr>
            <w:r w:rsidRPr="007615DF">
              <w:rPr>
                <w:rFonts w:ascii="Tahoma" w:eastAsia="Times New Roman" w:hAnsi="Tahoma" w:cs="Tahoma"/>
                <w:color w:val="000000"/>
                <w:kern w:val="0"/>
                <w:lang w:eastAsia="es-ES"/>
                <w14:ligatures w14:val="none"/>
              </w:rPr>
              <w:t>Valor Exposición</w:t>
            </w:r>
          </w:p>
        </w:tc>
        <w:tc>
          <w:tcPr>
            <w:tcW w:w="1173" w:type="dxa"/>
            <w:tcBorders>
              <w:top w:val="nil"/>
              <w:left w:val="nil"/>
              <w:bottom w:val="double" w:sz="6" w:space="0" w:color="auto"/>
              <w:right w:val="nil"/>
            </w:tcBorders>
            <w:vAlign w:val="center"/>
            <w:hideMark/>
          </w:tcPr>
          <w:p w14:paraId="5849E770" w14:textId="77777777" w:rsidR="00C36168" w:rsidRPr="007615DF" w:rsidRDefault="00C36168" w:rsidP="00F65AAC">
            <w:pPr>
              <w:spacing w:after="0" w:line="240" w:lineRule="auto"/>
              <w:jc w:val="center"/>
              <w:rPr>
                <w:rFonts w:ascii="Tahoma" w:eastAsia="Times New Roman" w:hAnsi="Tahoma" w:cs="Tahoma"/>
                <w:color w:val="000000"/>
                <w:kern w:val="0"/>
                <w:lang w:eastAsia="es-ES"/>
                <w14:ligatures w14:val="none"/>
              </w:rPr>
            </w:pPr>
            <w:r w:rsidRPr="007615DF">
              <w:rPr>
                <w:rFonts w:ascii="Tahoma" w:eastAsia="Times New Roman" w:hAnsi="Tahoma" w:cs="Tahoma"/>
                <w:color w:val="000000"/>
                <w:kern w:val="0"/>
                <w:lang w:eastAsia="es-ES"/>
                <w14:ligatures w14:val="none"/>
              </w:rPr>
              <w:t>Exposición Ponderada</w:t>
            </w:r>
          </w:p>
        </w:tc>
        <w:tc>
          <w:tcPr>
            <w:tcW w:w="1549" w:type="dxa"/>
            <w:tcBorders>
              <w:top w:val="nil"/>
              <w:left w:val="nil"/>
              <w:bottom w:val="double" w:sz="6" w:space="0" w:color="auto"/>
              <w:right w:val="nil"/>
            </w:tcBorders>
            <w:vAlign w:val="center"/>
            <w:hideMark/>
          </w:tcPr>
          <w:p w14:paraId="26409060" w14:textId="77777777" w:rsidR="00C36168" w:rsidRPr="007615DF" w:rsidRDefault="00C36168" w:rsidP="00F65AAC">
            <w:pPr>
              <w:spacing w:after="0" w:line="240" w:lineRule="auto"/>
              <w:jc w:val="center"/>
              <w:rPr>
                <w:rFonts w:ascii="Tahoma" w:eastAsia="Times New Roman" w:hAnsi="Tahoma" w:cs="Tahoma"/>
                <w:color w:val="000000"/>
                <w:kern w:val="0"/>
                <w:lang w:eastAsia="es-ES"/>
                <w14:ligatures w14:val="none"/>
              </w:rPr>
            </w:pPr>
            <w:r w:rsidRPr="007615DF">
              <w:rPr>
                <w:rFonts w:ascii="Tahoma" w:eastAsia="Times New Roman" w:hAnsi="Tahoma" w:cs="Tahoma"/>
                <w:color w:val="000000"/>
                <w:kern w:val="0"/>
                <w:lang w:eastAsia="es-ES"/>
                <w14:ligatures w14:val="none"/>
              </w:rPr>
              <w:t>Requerimiento RRPP</w:t>
            </w:r>
          </w:p>
        </w:tc>
      </w:tr>
      <w:tr w:rsidR="00C36168" w:rsidRPr="007615DF" w14:paraId="7D42CCB7" w14:textId="77777777" w:rsidTr="00F65AAC">
        <w:trPr>
          <w:trHeight w:val="300"/>
        </w:trPr>
        <w:tc>
          <w:tcPr>
            <w:tcW w:w="1370" w:type="dxa"/>
            <w:tcBorders>
              <w:top w:val="nil"/>
              <w:left w:val="nil"/>
              <w:bottom w:val="nil"/>
              <w:right w:val="nil"/>
            </w:tcBorders>
            <w:noWrap/>
            <w:vAlign w:val="bottom"/>
            <w:hideMark/>
          </w:tcPr>
          <w:p w14:paraId="202D0EB8" w14:textId="77777777" w:rsidR="00C36168" w:rsidRPr="007615DF" w:rsidRDefault="00C36168" w:rsidP="00F65AAC">
            <w:pPr>
              <w:spacing w:after="0" w:line="240" w:lineRule="auto"/>
              <w:rPr>
                <w:rFonts w:ascii="Tahoma" w:eastAsia="Times New Roman" w:hAnsi="Tahoma" w:cs="Tahoma"/>
                <w:color w:val="000000"/>
                <w:kern w:val="0"/>
                <w:lang w:eastAsia="es-ES"/>
                <w14:ligatures w14:val="none"/>
              </w:rPr>
            </w:pPr>
            <w:r w:rsidRPr="007615DF">
              <w:rPr>
                <w:rFonts w:ascii="Tahoma" w:eastAsia="Times New Roman" w:hAnsi="Tahoma" w:cs="Tahoma"/>
                <w:color w:val="000000"/>
                <w:kern w:val="0"/>
                <w:lang w:eastAsia="es-ES"/>
                <w14:ligatures w14:val="none"/>
              </w:rPr>
              <w:t>Entidades</w:t>
            </w:r>
          </w:p>
        </w:tc>
        <w:tc>
          <w:tcPr>
            <w:tcW w:w="1156" w:type="dxa"/>
            <w:tcBorders>
              <w:top w:val="nil"/>
              <w:left w:val="nil"/>
              <w:bottom w:val="nil"/>
              <w:right w:val="nil"/>
            </w:tcBorders>
            <w:noWrap/>
            <w:vAlign w:val="bottom"/>
            <w:hideMark/>
          </w:tcPr>
          <w:p w14:paraId="7B9A5EF0" w14:textId="77777777" w:rsidR="00C36168" w:rsidRPr="007615DF" w:rsidRDefault="00C36168" w:rsidP="00F65AAC">
            <w:pPr>
              <w:spacing w:after="0" w:line="240" w:lineRule="auto"/>
              <w:jc w:val="right"/>
              <w:rPr>
                <w:rFonts w:ascii="Tahoma" w:eastAsia="Times New Roman" w:hAnsi="Tahoma" w:cs="Tahoma"/>
                <w:color w:val="000000"/>
                <w:kern w:val="0"/>
                <w:lang w:eastAsia="es-ES"/>
                <w14:ligatures w14:val="none"/>
              </w:rPr>
            </w:pPr>
            <w:r>
              <w:rPr>
                <w:rFonts w:ascii="Tahoma" w:eastAsia="Times New Roman" w:hAnsi="Tahoma" w:cs="Tahoma"/>
                <w:color w:val="000000"/>
                <w:kern w:val="0"/>
                <w:lang w:eastAsia="es-ES"/>
                <w14:ligatures w14:val="none"/>
              </w:rPr>
              <w:t>5</w:t>
            </w:r>
            <w:r w:rsidRPr="007615DF">
              <w:rPr>
                <w:rFonts w:ascii="Tahoma" w:eastAsia="Times New Roman" w:hAnsi="Tahoma" w:cs="Tahoma"/>
                <w:color w:val="000000"/>
                <w:kern w:val="0"/>
                <w:lang w:eastAsia="es-ES"/>
                <w14:ligatures w14:val="none"/>
              </w:rPr>
              <w:t>.</w:t>
            </w:r>
            <w:r>
              <w:rPr>
                <w:rFonts w:ascii="Tahoma" w:eastAsia="Times New Roman" w:hAnsi="Tahoma" w:cs="Tahoma"/>
                <w:color w:val="000000"/>
                <w:kern w:val="0"/>
                <w:lang w:eastAsia="es-ES"/>
                <w14:ligatures w14:val="none"/>
              </w:rPr>
              <w:t>965</w:t>
            </w:r>
          </w:p>
        </w:tc>
        <w:tc>
          <w:tcPr>
            <w:tcW w:w="1120" w:type="dxa"/>
            <w:tcBorders>
              <w:top w:val="nil"/>
              <w:left w:val="nil"/>
              <w:bottom w:val="nil"/>
              <w:right w:val="nil"/>
            </w:tcBorders>
            <w:noWrap/>
            <w:vAlign w:val="bottom"/>
            <w:hideMark/>
          </w:tcPr>
          <w:p w14:paraId="6C3922EF" w14:textId="77777777" w:rsidR="00C36168" w:rsidRPr="007615DF" w:rsidRDefault="00C36168" w:rsidP="00F65AAC">
            <w:pPr>
              <w:spacing w:after="0" w:line="240" w:lineRule="auto"/>
              <w:jc w:val="right"/>
              <w:rPr>
                <w:rFonts w:ascii="Tahoma" w:eastAsia="Times New Roman" w:hAnsi="Tahoma" w:cs="Tahoma"/>
                <w:color w:val="000000"/>
                <w:kern w:val="0"/>
                <w:lang w:eastAsia="es-ES"/>
                <w14:ligatures w14:val="none"/>
              </w:rPr>
            </w:pPr>
            <w:r>
              <w:rPr>
                <w:rFonts w:ascii="Tahoma" w:eastAsia="Times New Roman" w:hAnsi="Tahoma" w:cs="Tahoma"/>
                <w:color w:val="000000"/>
                <w:kern w:val="0"/>
                <w:lang w:eastAsia="es-ES"/>
                <w14:ligatures w14:val="none"/>
              </w:rPr>
              <w:t>0</w:t>
            </w:r>
          </w:p>
        </w:tc>
        <w:tc>
          <w:tcPr>
            <w:tcW w:w="1156" w:type="dxa"/>
            <w:tcBorders>
              <w:top w:val="nil"/>
              <w:left w:val="nil"/>
              <w:bottom w:val="nil"/>
              <w:right w:val="nil"/>
            </w:tcBorders>
            <w:noWrap/>
            <w:vAlign w:val="bottom"/>
            <w:hideMark/>
          </w:tcPr>
          <w:p w14:paraId="66FE0D81" w14:textId="77777777" w:rsidR="00C36168" w:rsidRPr="007615DF" w:rsidRDefault="00C36168" w:rsidP="00F65AAC">
            <w:pPr>
              <w:spacing w:after="0" w:line="240" w:lineRule="auto"/>
              <w:jc w:val="right"/>
              <w:rPr>
                <w:rFonts w:ascii="Tahoma" w:eastAsia="Times New Roman" w:hAnsi="Tahoma" w:cs="Tahoma"/>
                <w:color w:val="000000"/>
                <w:kern w:val="0"/>
                <w:lang w:eastAsia="es-ES"/>
                <w14:ligatures w14:val="none"/>
              </w:rPr>
            </w:pPr>
            <w:r>
              <w:rPr>
                <w:rFonts w:ascii="Tahoma" w:eastAsia="Times New Roman" w:hAnsi="Tahoma" w:cs="Tahoma"/>
                <w:color w:val="000000"/>
                <w:kern w:val="0"/>
                <w:lang w:eastAsia="es-ES"/>
                <w14:ligatures w14:val="none"/>
              </w:rPr>
              <w:t>5.965</w:t>
            </w:r>
          </w:p>
        </w:tc>
        <w:tc>
          <w:tcPr>
            <w:tcW w:w="1210" w:type="dxa"/>
            <w:tcBorders>
              <w:top w:val="nil"/>
              <w:left w:val="nil"/>
              <w:bottom w:val="nil"/>
              <w:right w:val="nil"/>
            </w:tcBorders>
            <w:noWrap/>
            <w:vAlign w:val="bottom"/>
            <w:hideMark/>
          </w:tcPr>
          <w:p w14:paraId="3B58F03F" w14:textId="77777777" w:rsidR="00C36168" w:rsidRPr="007615DF" w:rsidRDefault="00C36168" w:rsidP="00F65AAC">
            <w:pPr>
              <w:spacing w:after="0" w:line="240" w:lineRule="auto"/>
              <w:jc w:val="right"/>
              <w:rPr>
                <w:rFonts w:ascii="Tahoma" w:eastAsia="Times New Roman" w:hAnsi="Tahoma" w:cs="Tahoma"/>
                <w:color w:val="000000"/>
                <w:kern w:val="0"/>
                <w:lang w:eastAsia="es-ES"/>
                <w14:ligatures w14:val="none"/>
              </w:rPr>
            </w:pPr>
          </w:p>
        </w:tc>
        <w:tc>
          <w:tcPr>
            <w:tcW w:w="1156" w:type="dxa"/>
            <w:tcBorders>
              <w:top w:val="nil"/>
              <w:left w:val="nil"/>
              <w:bottom w:val="nil"/>
              <w:right w:val="nil"/>
            </w:tcBorders>
            <w:noWrap/>
            <w:vAlign w:val="bottom"/>
            <w:hideMark/>
          </w:tcPr>
          <w:p w14:paraId="5E056751" w14:textId="77777777" w:rsidR="00C36168" w:rsidRPr="007615DF" w:rsidRDefault="00C36168" w:rsidP="00F65AAC">
            <w:pPr>
              <w:spacing w:after="0" w:line="240" w:lineRule="auto"/>
              <w:jc w:val="right"/>
              <w:rPr>
                <w:rFonts w:ascii="Tahoma" w:eastAsia="Times New Roman" w:hAnsi="Tahoma" w:cs="Tahoma"/>
                <w:color w:val="000000"/>
                <w:kern w:val="0"/>
                <w:lang w:eastAsia="es-ES"/>
                <w14:ligatures w14:val="none"/>
              </w:rPr>
            </w:pPr>
            <w:r>
              <w:rPr>
                <w:rFonts w:ascii="Tahoma" w:eastAsia="Times New Roman" w:hAnsi="Tahoma" w:cs="Tahoma"/>
                <w:color w:val="000000"/>
                <w:kern w:val="0"/>
                <w:lang w:eastAsia="es-ES"/>
                <w14:ligatures w14:val="none"/>
              </w:rPr>
              <w:t>5.965</w:t>
            </w:r>
          </w:p>
        </w:tc>
        <w:tc>
          <w:tcPr>
            <w:tcW w:w="1173" w:type="dxa"/>
            <w:tcBorders>
              <w:top w:val="nil"/>
              <w:left w:val="nil"/>
              <w:bottom w:val="nil"/>
              <w:right w:val="nil"/>
            </w:tcBorders>
            <w:noWrap/>
            <w:vAlign w:val="bottom"/>
            <w:hideMark/>
          </w:tcPr>
          <w:p w14:paraId="105984BE" w14:textId="77777777" w:rsidR="00C36168" w:rsidRPr="007615DF" w:rsidRDefault="00C36168" w:rsidP="00F65AAC">
            <w:pPr>
              <w:spacing w:after="0" w:line="240" w:lineRule="auto"/>
              <w:jc w:val="right"/>
              <w:rPr>
                <w:rFonts w:ascii="Tahoma" w:eastAsia="Times New Roman" w:hAnsi="Tahoma" w:cs="Tahoma"/>
                <w:color w:val="000000"/>
                <w:kern w:val="0"/>
                <w:lang w:eastAsia="es-ES"/>
                <w14:ligatures w14:val="none"/>
              </w:rPr>
            </w:pPr>
            <w:r>
              <w:rPr>
                <w:rFonts w:ascii="Tahoma" w:eastAsia="Times New Roman" w:hAnsi="Tahoma" w:cs="Tahoma"/>
                <w:color w:val="000000"/>
                <w:kern w:val="0"/>
                <w:lang w:eastAsia="es-ES"/>
                <w14:ligatures w14:val="none"/>
              </w:rPr>
              <w:t>1.193</w:t>
            </w:r>
          </w:p>
        </w:tc>
        <w:tc>
          <w:tcPr>
            <w:tcW w:w="1549" w:type="dxa"/>
            <w:tcBorders>
              <w:top w:val="nil"/>
              <w:left w:val="nil"/>
              <w:bottom w:val="nil"/>
              <w:right w:val="nil"/>
            </w:tcBorders>
            <w:noWrap/>
            <w:vAlign w:val="bottom"/>
            <w:hideMark/>
          </w:tcPr>
          <w:p w14:paraId="5546193B" w14:textId="77777777" w:rsidR="00C36168" w:rsidRPr="007615DF" w:rsidRDefault="00C36168" w:rsidP="00F65AAC">
            <w:pPr>
              <w:spacing w:after="0" w:line="240" w:lineRule="auto"/>
              <w:jc w:val="right"/>
              <w:rPr>
                <w:rFonts w:ascii="Tahoma" w:eastAsia="Times New Roman" w:hAnsi="Tahoma" w:cs="Tahoma"/>
                <w:color w:val="000000"/>
                <w:kern w:val="0"/>
                <w:lang w:eastAsia="es-ES"/>
                <w14:ligatures w14:val="none"/>
              </w:rPr>
            </w:pPr>
            <w:r>
              <w:rPr>
                <w:rFonts w:ascii="Tahoma" w:eastAsia="Times New Roman" w:hAnsi="Tahoma" w:cs="Tahoma"/>
                <w:color w:val="000000"/>
                <w:kern w:val="0"/>
                <w:lang w:eastAsia="es-ES"/>
                <w14:ligatures w14:val="none"/>
              </w:rPr>
              <w:t>95</w:t>
            </w:r>
          </w:p>
        </w:tc>
      </w:tr>
      <w:tr w:rsidR="00C36168" w:rsidRPr="007615DF" w14:paraId="58CB65BD" w14:textId="77777777" w:rsidTr="00F65AAC">
        <w:trPr>
          <w:trHeight w:val="300"/>
        </w:trPr>
        <w:tc>
          <w:tcPr>
            <w:tcW w:w="1370" w:type="dxa"/>
            <w:tcBorders>
              <w:top w:val="nil"/>
              <w:left w:val="nil"/>
              <w:bottom w:val="nil"/>
              <w:right w:val="nil"/>
            </w:tcBorders>
            <w:noWrap/>
            <w:vAlign w:val="bottom"/>
            <w:hideMark/>
          </w:tcPr>
          <w:p w14:paraId="06B471FC" w14:textId="77777777" w:rsidR="00C36168" w:rsidRPr="007615DF" w:rsidRDefault="00C36168" w:rsidP="00F65AAC">
            <w:pPr>
              <w:spacing w:after="0" w:line="240" w:lineRule="auto"/>
              <w:rPr>
                <w:rFonts w:ascii="Tahoma" w:eastAsia="Times New Roman" w:hAnsi="Tahoma" w:cs="Tahoma"/>
                <w:color w:val="000000"/>
                <w:kern w:val="0"/>
                <w:lang w:eastAsia="es-ES"/>
                <w14:ligatures w14:val="none"/>
              </w:rPr>
            </w:pPr>
            <w:r w:rsidRPr="007615DF">
              <w:rPr>
                <w:rFonts w:ascii="Tahoma" w:eastAsia="Times New Roman" w:hAnsi="Tahoma" w:cs="Tahoma"/>
                <w:color w:val="000000"/>
                <w:kern w:val="0"/>
                <w:lang w:eastAsia="es-ES"/>
                <w14:ligatures w14:val="none"/>
              </w:rPr>
              <w:t>Empresas</w:t>
            </w:r>
          </w:p>
        </w:tc>
        <w:tc>
          <w:tcPr>
            <w:tcW w:w="1156" w:type="dxa"/>
            <w:tcBorders>
              <w:top w:val="nil"/>
              <w:left w:val="nil"/>
              <w:bottom w:val="nil"/>
              <w:right w:val="nil"/>
            </w:tcBorders>
            <w:noWrap/>
            <w:vAlign w:val="bottom"/>
            <w:hideMark/>
          </w:tcPr>
          <w:p w14:paraId="53857A6E" w14:textId="77777777" w:rsidR="00C36168" w:rsidRPr="007615DF" w:rsidRDefault="00C36168" w:rsidP="00F65AAC">
            <w:pPr>
              <w:spacing w:after="0" w:line="240" w:lineRule="auto"/>
              <w:jc w:val="right"/>
              <w:rPr>
                <w:rFonts w:ascii="Tahoma" w:eastAsia="Times New Roman" w:hAnsi="Tahoma" w:cs="Tahoma"/>
                <w:color w:val="000000"/>
                <w:kern w:val="0"/>
                <w:lang w:eastAsia="es-ES"/>
                <w14:ligatures w14:val="none"/>
              </w:rPr>
            </w:pPr>
            <w:r>
              <w:rPr>
                <w:rFonts w:ascii="Tahoma" w:eastAsia="Times New Roman" w:hAnsi="Tahoma" w:cs="Tahoma"/>
                <w:color w:val="000000"/>
                <w:kern w:val="0"/>
                <w:lang w:eastAsia="es-ES"/>
                <w14:ligatures w14:val="none"/>
              </w:rPr>
              <w:t>0</w:t>
            </w:r>
          </w:p>
        </w:tc>
        <w:tc>
          <w:tcPr>
            <w:tcW w:w="1120" w:type="dxa"/>
            <w:tcBorders>
              <w:top w:val="nil"/>
              <w:left w:val="nil"/>
              <w:bottom w:val="nil"/>
              <w:right w:val="nil"/>
            </w:tcBorders>
            <w:noWrap/>
            <w:vAlign w:val="bottom"/>
            <w:hideMark/>
          </w:tcPr>
          <w:p w14:paraId="42B6BC68" w14:textId="77777777" w:rsidR="00C36168" w:rsidRPr="007615DF" w:rsidRDefault="00C36168" w:rsidP="00F65AAC">
            <w:pPr>
              <w:spacing w:after="0" w:line="240" w:lineRule="auto"/>
              <w:jc w:val="right"/>
              <w:rPr>
                <w:rFonts w:ascii="Tahoma" w:eastAsia="Times New Roman" w:hAnsi="Tahoma" w:cs="Tahoma"/>
                <w:color w:val="000000"/>
                <w:kern w:val="0"/>
                <w:lang w:eastAsia="es-ES"/>
                <w14:ligatures w14:val="none"/>
              </w:rPr>
            </w:pPr>
            <w:r>
              <w:rPr>
                <w:rFonts w:ascii="Tahoma" w:eastAsia="Times New Roman" w:hAnsi="Tahoma" w:cs="Tahoma"/>
                <w:color w:val="000000"/>
                <w:kern w:val="0"/>
                <w:lang w:eastAsia="es-ES"/>
                <w14:ligatures w14:val="none"/>
              </w:rPr>
              <w:t>0</w:t>
            </w:r>
          </w:p>
        </w:tc>
        <w:tc>
          <w:tcPr>
            <w:tcW w:w="1156" w:type="dxa"/>
            <w:tcBorders>
              <w:top w:val="nil"/>
              <w:left w:val="nil"/>
              <w:bottom w:val="nil"/>
              <w:right w:val="nil"/>
            </w:tcBorders>
            <w:noWrap/>
            <w:vAlign w:val="bottom"/>
            <w:hideMark/>
          </w:tcPr>
          <w:p w14:paraId="7766B194" w14:textId="77777777" w:rsidR="00C36168" w:rsidRPr="007615DF" w:rsidRDefault="00C36168" w:rsidP="00F65AAC">
            <w:pPr>
              <w:spacing w:after="0" w:line="240" w:lineRule="auto"/>
              <w:jc w:val="right"/>
              <w:rPr>
                <w:rFonts w:ascii="Tahoma" w:eastAsia="Times New Roman" w:hAnsi="Tahoma" w:cs="Tahoma"/>
                <w:color w:val="000000"/>
                <w:kern w:val="0"/>
                <w:lang w:eastAsia="es-ES"/>
                <w14:ligatures w14:val="none"/>
              </w:rPr>
            </w:pPr>
            <w:r>
              <w:rPr>
                <w:rFonts w:ascii="Tahoma" w:eastAsia="Times New Roman" w:hAnsi="Tahoma" w:cs="Tahoma"/>
                <w:color w:val="000000"/>
                <w:kern w:val="0"/>
                <w:lang w:eastAsia="es-ES"/>
                <w14:ligatures w14:val="none"/>
              </w:rPr>
              <w:t>0</w:t>
            </w:r>
          </w:p>
        </w:tc>
        <w:tc>
          <w:tcPr>
            <w:tcW w:w="1210" w:type="dxa"/>
            <w:tcBorders>
              <w:top w:val="nil"/>
              <w:left w:val="nil"/>
              <w:bottom w:val="nil"/>
              <w:right w:val="nil"/>
            </w:tcBorders>
            <w:noWrap/>
            <w:vAlign w:val="bottom"/>
            <w:hideMark/>
          </w:tcPr>
          <w:p w14:paraId="39B765C4" w14:textId="77777777" w:rsidR="00C36168" w:rsidRPr="007615DF" w:rsidRDefault="00C36168" w:rsidP="00F65AAC">
            <w:pPr>
              <w:spacing w:after="0" w:line="240" w:lineRule="auto"/>
              <w:jc w:val="right"/>
              <w:rPr>
                <w:rFonts w:ascii="Tahoma" w:eastAsia="Times New Roman" w:hAnsi="Tahoma" w:cs="Tahoma"/>
                <w:color w:val="000000"/>
                <w:kern w:val="0"/>
                <w:lang w:eastAsia="es-ES"/>
                <w14:ligatures w14:val="none"/>
              </w:rPr>
            </w:pPr>
          </w:p>
        </w:tc>
        <w:tc>
          <w:tcPr>
            <w:tcW w:w="1156" w:type="dxa"/>
            <w:tcBorders>
              <w:top w:val="nil"/>
              <w:left w:val="nil"/>
              <w:bottom w:val="nil"/>
              <w:right w:val="nil"/>
            </w:tcBorders>
            <w:noWrap/>
            <w:vAlign w:val="bottom"/>
            <w:hideMark/>
          </w:tcPr>
          <w:p w14:paraId="4BC7D25D" w14:textId="77777777" w:rsidR="00C36168" w:rsidRPr="007615DF" w:rsidRDefault="00C36168" w:rsidP="00F65AAC">
            <w:pPr>
              <w:spacing w:after="0" w:line="240" w:lineRule="auto"/>
              <w:jc w:val="right"/>
              <w:rPr>
                <w:rFonts w:ascii="Tahoma" w:eastAsia="Times New Roman" w:hAnsi="Tahoma" w:cs="Tahoma"/>
                <w:color w:val="000000"/>
                <w:kern w:val="0"/>
                <w:lang w:eastAsia="es-ES"/>
                <w14:ligatures w14:val="none"/>
              </w:rPr>
            </w:pPr>
            <w:r>
              <w:rPr>
                <w:rFonts w:ascii="Tahoma" w:eastAsia="Times New Roman" w:hAnsi="Tahoma" w:cs="Tahoma"/>
                <w:color w:val="000000"/>
                <w:kern w:val="0"/>
                <w:lang w:eastAsia="es-ES"/>
                <w14:ligatures w14:val="none"/>
              </w:rPr>
              <w:t>0</w:t>
            </w:r>
          </w:p>
        </w:tc>
        <w:tc>
          <w:tcPr>
            <w:tcW w:w="1173" w:type="dxa"/>
            <w:tcBorders>
              <w:top w:val="nil"/>
              <w:left w:val="nil"/>
              <w:bottom w:val="nil"/>
              <w:right w:val="nil"/>
            </w:tcBorders>
            <w:noWrap/>
            <w:vAlign w:val="bottom"/>
            <w:hideMark/>
          </w:tcPr>
          <w:p w14:paraId="4BDE2289" w14:textId="77777777" w:rsidR="00C36168" w:rsidRPr="007615DF" w:rsidRDefault="00C36168" w:rsidP="00F65AAC">
            <w:pPr>
              <w:spacing w:after="0" w:line="240" w:lineRule="auto"/>
              <w:jc w:val="right"/>
              <w:rPr>
                <w:rFonts w:ascii="Tahoma" w:eastAsia="Times New Roman" w:hAnsi="Tahoma" w:cs="Tahoma"/>
                <w:color w:val="000000"/>
                <w:kern w:val="0"/>
                <w:lang w:eastAsia="es-ES"/>
                <w14:ligatures w14:val="none"/>
              </w:rPr>
            </w:pPr>
            <w:r>
              <w:rPr>
                <w:rFonts w:ascii="Tahoma" w:eastAsia="Times New Roman" w:hAnsi="Tahoma" w:cs="Tahoma"/>
                <w:color w:val="000000"/>
                <w:kern w:val="0"/>
                <w:lang w:eastAsia="es-ES"/>
                <w14:ligatures w14:val="none"/>
              </w:rPr>
              <w:t>0</w:t>
            </w:r>
          </w:p>
        </w:tc>
        <w:tc>
          <w:tcPr>
            <w:tcW w:w="1549" w:type="dxa"/>
            <w:tcBorders>
              <w:top w:val="nil"/>
              <w:left w:val="nil"/>
              <w:bottom w:val="nil"/>
              <w:right w:val="nil"/>
            </w:tcBorders>
            <w:noWrap/>
            <w:vAlign w:val="bottom"/>
            <w:hideMark/>
          </w:tcPr>
          <w:p w14:paraId="23DFB910" w14:textId="77777777" w:rsidR="00C36168" w:rsidRPr="007615DF" w:rsidRDefault="00C36168" w:rsidP="00F65AAC">
            <w:pPr>
              <w:spacing w:after="0" w:line="240" w:lineRule="auto"/>
              <w:jc w:val="right"/>
              <w:rPr>
                <w:rFonts w:ascii="Tahoma" w:eastAsia="Times New Roman" w:hAnsi="Tahoma" w:cs="Tahoma"/>
                <w:color w:val="000000"/>
                <w:kern w:val="0"/>
                <w:lang w:eastAsia="es-ES"/>
                <w14:ligatures w14:val="none"/>
              </w:rPr>
            </w:pPr>
            <w:r>
              <w:rPr>
                <w:rFonts w:ascii="Tahoma" w:eastAsia="Times New Roman" w:hAnsi="Tahoma" w:cs="Tahoma"/>
                <w:color w:val="000000"/>
                <w:kern w:val="0"/>
                <w:lang w:eastAsia="es-ES"/>
                <w14:ligatures w14:val="none"/>
              </w:rPr>
              <w:t>0</w:t>
            </w:r>
          </w:p>
        </w:tc>
      </w:tr>
      <w:tr w:rsidR="00C36168" w:rsidRPr="007615DF" w14:paraId="264A7F9D" w14:textId="77777777" w:rsidTr="00F65AAC">
        <w:trPr>
          <w:trHeight w:val="300"/>
        </w:trPr>
        <w:tc>
          <w:tcPr>
            <w:tcW w:w="1370" w:type="dxa"/>
            <w:tcBorders>
              <w:top w:val="nil"/>
              <w:left w:val="nil"/>
              <w:bottom w:val="nil"/>
              <w:right w:val="nil"/>
            </w:tcBorders>
            <w:noWrap/>
            <w:vAlign w:val="bottom"/>
            <w:hideMark/>
          </w:tcPr>
          <w:p w14:paraId="0E0AF614" w14:textId="77777777" w:rsidR="00C36168" w:rsidRPr="007615DF" w:rsidRDefault="00C36168" w:rsidP="00F65AAC">
            <w:pPr>
              <w:spacing w:after="0" w:line="240" w:lineRule="auto"/>
              <w:rPr>
                <w:rFonts w:ascii="Tahoma" w:eastAsia="Times New Roman" w:hAnsi="Tahoma" w:cs="Tahoma"/>
                <w:color w:val="000000"/>
                <w:kern w:val="0"/>
                <w:lang w:eastAsia="es-ES"/>
                <w14:ligatures w14:val="none"/>
              </w:rPr>
            </w:pPr>
            <w:r w:rsidRPr="007615DF">
              <w:rPr>
                <w:rFonts w:ascii="Tahoma" w:eastAsia="Times New Roman" w:hAnsi="Tahoma" w:cs="Tahoma"/>
                <w:color w:val="000000"/>
                <w:kern w:val="0"/>
                <w:lang w:eastAsia="es-ES"/>
                <w14:ligatures w14:val="none"/>
              </w:rPr>
              <w:t>Minoristas</w:t>
            </w:r>
          </w:p>
        </w:tc>
        <w:tc>
          <w:tcPr>
            <w:tcW w:w="1156" w:type="dxa"/>
            <w:tcBorders>
              <w:top w:val="nil"/>
              <w:left w:val="nil"/>
              <w:bottom w:val="nil"/>
              <w:right w:val="nil"/>
            </w:tcBorders>
            <w:noWrap/>
            <w:vAlign w:val="bottom"/>
            <w:hideMark/>
          </w:tcPr>
          <w:p w14:paraId="558F1EC1" w14:textId="77777777" w:rsidR="00C36168" w:rsidRPr="007615DF" w:rsidRDefault="00C36168" w:rsidP="00F65AAC">
            <w:pPr>
              <w:spacing w:after="0" w:line="240" w:lineRule="auto"/>
              <w:jc w:val="right"/>
              <w:rPr>
                <w:rFonts w:ascii="Tahoma" w:eastAsia="Times New Roman" w:hAnsi="Tahoma" w:cs="Tahoma"/>
                <w:color w:val="000000"/>
                <w:kern w:val="0"/>
                <w:lang w:eastAsia="es-ES"/>
                <w14:ligatures w14:val="none"/>
              </w:rPr>
            </w:pPr>
            <w:r>
              <w:rPr>
                <w:rFonts w:ascii="Tahoma" w:eastAsia="Times New Roman" w:hAnsi="Tahoma" w:cs="Tahoma"/>
                <w:color w:val="000000"/>
                <w:kern w:val="0"/>
                <w:lang w:eastAsia="es-ES"/>
                <w14:ligatures w14:val="none"/>
              </w:rPr>
              <w:t>2.409</w:t>
            </w:r>
          </w:p>
        </w:tc>
        <w:tc>
          <w:tcPr>
            <w:tcW w:w="1120" w:type="dxa"/>
            <w:tcBorders>
              <w:top w:val="nil"/>
              <w:left w:val="nil"/>
              <w:bottom w:val="nil"/>
              <w:right w:val="nil"/>
            </w:tcBorders>
            <w:noWrap/>
            <w:vAlign w:val="bottom"/>
            <w:hideMark/>
          </w:tcPr>
          <w:p w14:paraId="6E9BA282" w14:textId="77777777" w:rsidR="00C36168" w:rsidRPr="007615DF" w:rsidRDefault="00C36168" w:rsidP="00F65AAC">
            <w:pPr>
              <w:spacing w:after="0" w:line="240" w:lineRule="auto"/>
              <w:jc w:val="right"/>
              <w:rPr>
                <w:rFonts w:ascii="Tahoma" w:eastAsia="Times New Roman" w:hAnsi="Tahoma" w:cs="Tahoma"/>
                <w:color w:val="000000"/>
                <w:kern w:val="0"/>
                <w:lang w:eastAsia="es-ES"/>
                <w14:ligatures w14:val="none"/>
              </w:rPr>
            </w:pPr>
            <w:r>
              <w:rPr>
                <w:rFonts w:ascii="Tahoma" w:eastAsia="Times New Roman" w:hAnsi="Tahoma" w:cs="Tahoma"/>
                <w:color w:val="000000"/>
                <w:kern w:val="0"/>
                <w:lang w:eastAsia="es-ES"/>
                <w14:ligatures w14:val="none"/>
              </w:rPr>
              <w:t>-29</w:t>
            </w:r>
          </w:p>
        </w:tc>
        <w:tc>
          <w:tcPr>
            <w:tcW w:w="1156" w:type="dxa"/>
            <w:tcBorders>
              <w:top w:val="nil"/>
              <w:left w:val="nil"/>
              <w:bottom w:val="nil"/>
              <w:right w:val="nil"/>
            </w:tcBorders>
            <w:noWrap/>
            <w:vAlign w:val="bottom"/>
            <w:hideMark/>
          </w:tcPr>
          <w:p w14:paraId="63B6519B" w14:textId="77777777" w:rsidR="00C36168" w:rsidRPr="007615DF" w:rsidRDefault="00C36168" w:rsidP="00F65AAC">
            <w:pPr>
              <w:spacing w:after="0" w:line="240" w:lineRule="auto"/>
              <w:jc w:val="right"/>
              <w:rPr>
                <w:rFonts w:ascii="Tahoma" w:eastAsia="Times New Roman" w:hAnsi="Tahoma" w:cs="Tahoma"/>
                <w:color w:val="000000"/>
                <w:kern w:val="0"/>
                <w:lang w:eastAsia="es-ES"/>
                <w14:ligatures w14:val="none"/>
              </w:rPr>
            </w:pPr>
            <w:r>
              <w:rPr>
                <w:rFonts w:ascii="Tahoma" w:eastAsia="Times New Roman" w:hAnsi="Tahoma" w:cs="Tahoma"/>
                <w:color w:val="000000"/>
                <w:kern w:val="0"/>
                <w:lang w:eastAsia="es-ES"/>
                <w14:ligatures w14:val="none"/>
              </w:rPr>
              <w:t>2.379</w:t>
            </w:r>
          </w:p>
        </w:tc>
        <w:tc>
          <w:tcPr>
            <w:tcW w:w="1210" w:type="dxa"/>
            <w:tcBorders>
              <w:top w:val="nil"/>
              <w:left w:val="nil"/>
              <w:bottom w:val="nil"/>
              <w:right w:val="nil"/>
            </w:tcBorders>
            <w:noWrap/>
            <w:vAlign w:val="bottom"/>
            <w:hideMark/>
          </w:tcPr>
          <w:p w14:paraId="6465953A" w14:textId="77777777" w:rsidR="00C36168" w:rsidRPr="007615DF" w:rsidRDefault="00C36168" w:rsidP="00F65AAC">
            <w:pPr>
              <w:spacing w:after="0" w:line="240" w:lineRule="auto"/>
              <w:jc w:val="right"/>
              <w:rPr>
                <w:rFonts w:ascii="Tahoma" w:eastAsia="Times New Roman" w:hAnsi="Tahoma" w:cs="Tahoma"/>
                <w:color w:val="000000"/>
                <w:kern w:val="0"/>
                <w:lang w:eastAsia="es-ES"/>
                <w14:ligatures w14:val="none"/>
              </w:rPr>
            </w:pPr>
            <w:r>
              <w:rPr>
                <w:rFonts w:ascii="Tahoma" w:eastAsia="Times New Roman" w:hAnsi="Tahoma" w:cs="Tahoma"/>
                <w:color w:val="000000"/>
                <w:kern w:val="0"/>
                <w:lang w:eastAsia="es-ES"/>
                <w14:ligatures w14:val="none"/>
              </w:rPr>
              <w:t>-27</w:t>
            </w:r>
          </w:p>
        </w:tc>
        <w:tc>
          <w:tcPr>
            <w:tcW w:w="1156" w:type="dxa"/>
            <w:tcBorders>
              <w:top w:val="nil"/>
              <w:left w:val="nil"/>
              <w:bottom w:val="nil"/>
              <w:right w:val="nil"/>
            </w:tcBorders>
            <w:noWrap/>
            <w:vAlign w:val="bottom"/>
            <w:hideMark/>
          </w:tcPr>
          <w:p w14:paraId="281ABDD2" w14:textId="77777777" w:rsidR="00C36168" w:rsidRPr="007615DF" w:rsidRDefault="00C36168" w:rsidP="00F65AAC">
            <w:pPr>
              <w:spacing w:after="0" w:line="240" w:lineRule="auto"/>
              <w:jc w:val="right"/>
              <w:rPr>
                <w:rFonts w:ascii="Tahoma" w:eastAsia="Times New Roman" w:hAnsi="Tahoma" w:cs="Tahoma"/>
                <w:color w:val="000000"/>
                <w:kern w:val="0"/>
                <w:lang w:eastAsia="es-ES"/>
                <w14:ligatures w14:val="none"/>
              </w:rPr>
            </w:pPr>
            <w:r>
              <w:rPr>
                <w:rFonts w:ascii="Tahoma" w:eastAsia="Times New Roman" w:hAnsi="Tahoma" w:cs="Tahoma"/>
                <w:color w:val="000000"/>
                <w:kern w:val="0"/>
                <w:lang w:eastAsia="es-ES"/>
                <w14:ligatures w14:val="none"/>
              </w:rPr>
              <w:t>2.352</w:t>
            </w:r>
          </w:p>
        </w:tc>
        <w:tc>
          <w:tcPr>
            <w:tcW w:w="1173" w:type="dxa"/>
            <w:tcBorders>
              <w:top w:val="nil"/>
              <w:left w:val="nil"/>
              <w:bottom w:val="nil"/>
              <w:right w:val="nil"/>
            </w:tcBorders>
            <w:noWrap/>
            <w:vAlign w:val="bottom"/>
            <w:hideMark/>
          </w:tcPr>
          <w:p w14:paraId="24F0DC69" w14:textId="77777777" w:rsidR="00C36168" w:rsidRPr="007615DF" w:rsidRDefault="00C36168" w:rsidP="00F65AAC">
            <w:pPr>
              <w:spacing w:after="0" w:line="240" w:lineRule="auto"/>
              <w:jc w:val="right"/>
              <w:rPr>
                <w:rFonts w:ascii="Tahoma" w:eastAsia="Times New Roman" w:hAnsi="Tahoma" w:cs="Tahoma"/>
                <w:color w:val="000000"/>
                <w:kern w:val="0"/>
                <w:lang w:eastAsia="es-ES"/>
                <w14:ligatures w14:val="none"/>
              </w:rPr>
            </w:pPr>
            <w:r>
              <w:rPr>
                <w:rFonts w:ascii="Tahoma" w:eastAsia="Times New Roman" w:hAnsi="Tahoma" w:cs="Tahoma"/>
                <w:color w:val="000000"/>
                <w:kern w:val="0"/>
                <w:lang w:eastAsia="es-ES"/>
                <w14:ligatures w14:val="none"/>
              </w:rPr>
              <w:t>1.764</w:t>
            </w:r>
          </w:p>
        </w:tc>
        <w:tc>
          <w:tcPr>
            <w:tcW w:w="1549" w:type="dxa"/>
            <w:tcBorders>
              <w:top w:val="nil"/>
              <w:left w:val="nil"/>
              <w:bottom w:val="nil"/>
              <w:right w:val="nil"/>
            </w:tcBorders>
            <w:noWrap/>
            <w:vAlign w:val="bottom"/>
            <w:hideMark/>
          </w:tcPr>
          <w:p w14:paraId="474467AF" w14:textId="77777777" w:rsidR="00C36168" w:rsidRPr="007615DF" w:rsidRDefault="00C36168" w:rsidP="00F65AAC">
            <w:pPr>
              <w:spacing w:after="0" w:line="240" w:lineRule="auto"/>
              <w:jc w:val="right"/>
              <w:rPr>
                <w:rFonts w:ascii="Tahoma" w:eastAsia="Times New Roman" w:hAnsi="Tahoma" w:cs="Tahoma"/>
                <w:color w:val="000000"/>
                <w:kern w:val="0"/>
                <w:lang w:eastAsia="es-ES"/>
                <w14:ligatures w14:val="none"/>
              </w:rPr>
            </w:pPr>
            <w:r>
              <w:rPr>
                <w:rFonts w:ascii="Tahoma" w:eastAsia="Times New Roman" w:hAnsi="Tahoma" w:cs="Tahoma"/>
                <w:color w:val="000000"/>
                <w:kern w:val="0"/>
                <w:lang w:eastAsia="es-ES"/>
                <w14:ligatures w14:val="none"/>
              </w:rPr>
              <w:t>141</w:t>
            </w:r>
          </w:p>
        </w:tc>
      </w:tr>
      <w:tr w:rsidR="00C36168" w:rsidRPr="007615DF" w14:paraId="3157C60B" w14:textId="77777777" w:rsidTr="00F65AAC">
        <w:trPr>
          <w:trHeight w:val="285"/>
        </w:trPr>
        <w:tc>
          <w:tcPr>
            <w:tcW w:w="1370" w:type="dxa"/>
            <w:tcBorders>
              <w:top w:val="nil"/>
              <w:left w:val="nil"/>
              <w:bottom w:val="nil"/>
              <w:right w:val="nil"/>
            </w:tcBorders>
            <w:noWrap/>
            <w:vAlign w:val="bottom"/>
            <w:hideMark/>
          </w:tcPr>
          <w:p w14:paraId="130E781D" w14:textId="77777777" w:rsidR="00C36168" w:rsidRPr="007615DF" w:rsidRDefault="00C36168" w:rsidP="00F65AAC">
            <w:pPr>
              <w:spacing w:after="0" w:line="240" w:lineRule="auto"/>
              <w:rPr>
                <w:rFonts w:ascii="Tahoma" w:eastAsia="Times New Roman" w:hAnsi="Tahoma" w:cs="Tahoma"/>
                <w:color w:val="000000"/>
                <w:kern w:val="0"/>
                <w:lang w:eastAsia="es-ES"/>
                <w14:ligatures w14:val="none"/>
              </w:rPr>
            </w:pPr>
            <w:r w:rsidRPr="007615DF">
              <w:rPr>
                <w:rFonts w:ascii="Tahoma" w:eastAsia="Times New Roman" w:hAnsi="Tahoma" w:cs="Tahoma"/>
                <w:color w:val="000000"/>
                <w:kern w:val="0"/>
                <w:lang w:eastAsia="es-ES"/>
                <w14:ligatures w14:val="none"/>
              </w:rPr>
              <w:t>Hipotecas</w:t>
            </w:r>
          </w:p>
        </w:tc>
        <w:tc>
          <w:tcPr>
            <w:tcW w:w="1156" w:type="dxa"/>
            <w:tcBorders>
              <w:top w:val="nil"/>
              <w:left w:val="nil"/>
              <w:bottom w:val="nil"/>
              <w:right w:val="nil"/>
            </w:tcBorders>
            <w:noWrap/>
            <w:vAlign w:val="bottom"/>
            <w:hideMark/>
          </w:tcPr>
          <w:p w14:paraId="2D22AE5A" w14:textId="77777777" w:rsidR="00C36168" w:rsidRPr="007615DF" w:rsidRDefault="00C36168" w:rsidP="00F65AAC">
            <w:pPr>
              <w:spacing w:after="0" w:line="240" w:lineRule="auto"/>
              <w:jc w:val="right"/>
              <w:rPr>
                <w:rFonts w:ascii="Tahoma" w:eastAsia="Times New Roman" w:hAnsi="Tahoma" w:cs="Tahoma"/>
                <w:color w:val="000000"/>
                <w:kern w:val="0"/>
                <w:lang w:eastAsia="es-ES"/>
                <w14:ligatures w14:val="none"/>
              </w:rPr>
            </w:pPr>
            <w:r>
              <w:rPr>
                <w:rFonts w:ascii="Tahoma" w:eastAsia="Times New Roman" w:hAnsi="Tahoma" w:cs="Tahoma"/>
                <w:color w:val="000000"/>
                <w:kern w:val="0"/>
                <w:lang w:eastAsia="es-ES"/>
                <w14:ligatures w14:val="none"/>
              </w:rPr>
              <w:t>1.711</w:t>
            </w:r>
          </w:p>
        </w:tc>
        <w:tc>
          <w:tcPr>
            <w:tcW w:w="1120" w:type="dxa"/>
            <w:tcBorders>
              <w:top w:val="nil"/>
              <w:left w:val="nil"/>
              <w:bottom w:val="nil"/>
              <w:right w:val="nil"/>
            </w:tcBorders>
            <w:noWrap/>
            <w:vAlign w:val="bottom"/>
            <w:hideMark/>
          </w:tcPr>
          <w:p w14:paraId="268786EB" w14:textId="77777777" w:rsidR="00C36168" w:rsidRPr="007615DF" w:rsidRDefault="00C36168" w:rsidP="00F65AAC">
            <w:pPr>
              <w:spacing w:after="0" w:line="240" w:lineRule="auto"/>
              <w:jc w:val="right"/>
              <w:rPr>
                <w:rFonts w:ascii="Tahoma" w:eastAsia="Times New Roman" w:hAnsi="Tahoma" w:cs="Tahoma"/>
                <w:color w:val="000000"/>
                <w:kern w:val="0"/>
                <w:lang w:eastAsia="es-ES"/>
                <w14:ligatures w14:val="none"/>
              </w:rPr>
            </w:pPr>
            <w:r w:rsidRPr="007615DF">
              <w:rPr>
                <w:rFonts w:ascii="Tahoma" w:eastAsia="Times New Roman" w:hAnsi="Tahoma" w:cs="Tahoma"/>
                <w:color w:val="000000"/>
                <w:kern w:val="0"/>
                <w:lang w:eastAsia="es-ES"/>
                <w14:ligatures w14:val="none"/>
              </w:rPr>
              <w:t>-9</w:t>
            </w:r>
          </w:p>
        </w:tc>
        <w:tc>
          <w:tcPr>
            <w:tcW w:w="1156" w:type="dxa"/>
            <w:tcBorders>
              <w:top w:val="nil"/>
              <w:left w:val="nil"/>
              <w:bottom w:val="nil"/>
              <w:right w:val="nil"/>
            </w:tcBorders>
            <w:noWrap/>
            <w:vAlign w:val="bottom"/>
            <w:hideMark/>
          </w:tcPr>
          <w:p w14:paraId="384F9F24" w14:textId="77777777" w:rsidR="00C36168" w:rsidRPr="007615DF" w:rsidRDefault="00C36168" w:rsidP="00F65AAC">
            <w:pPr>
              <w:spacing w:after="0" w:line="240" w:lineRule="auto"/>
              <w:jc w:val="right"/>
              <w:rPr>
                <w:rFonts w:ascii="Tahoma" w:eastAsia="Times New Roman" w:hAnsi="Tahoma" w:cs="Tahoma"/>
                <w:color w:val="000000"/>
                <w:kern w:val="0"/>
                <w:lang w:eastAsia="es-ES"/>
                <w14:ligatures w14:val="none"/>
              </w:rPr>
            </w:pPr>
            <w:r>
              <w:rPr>
                <w:rFonts w:ascii="Tahoma" w:eastAsia="Times New Roman" w:hAnsi="Tahoma" w:cs="Tahoma"/>
                <w:color w:val="000000"/>
                <w:kern w:val="0"/>
                <w:lang w:eastAsia="es-ES"/>
                <w14:ligatures w14:val="none"/>
              </w:rPr>
              <w:t>1.702</w:t>
            </w:r>
          </w:p>
        </w:tc>
        <w:tc>
          <w:tcPr>
            <w:tcW w:w="1210" w:type="dxa"/>
            <w:tcBorders>
              <w:top w:val="nil"/>
              <w:left w:val="nil"/>
              <w:bottom w:val="nil"/>
              <w:right w:val="nil"/>
            </w:tcBorders>
            <w:noWrap/>
            <w:vAlign w:val="bottom"/>
            <w:hideMark/>
          </w:tcPr>
          <w:p w14:paraId="619903A4" w14:textId="77777777" w:rsidR="00C36168" w:rsidRPr="007615DF" w:rsidRDefault="00C36168" w:rsidP="00F65AAC">
            <w:pPr>
              <w:spacing w:after="0" w:line="240" w:lineRule="auto"/>
              <w:jc w:val="right"/>
              <w:rPr>
                <w:rFonts w:ascii="Tahoma" w:eastAsia="Times New Roman" w:hAnsi="Tahoma" w:cs="Tahoma"/>
                <w:color w:val="000000"/>
                <w:kern w:val="0"/>
                <w:lang w:eastAsia="es-ES"/>
                <w14:ligatures w14:val="none"/>
              </w:rPr>
            </w:pPr>
          </w:p>
        </w:tc>
        <w:tc>
          <w:tcPr>
            <w:tcW w:w="1156" w:type="dxa"/>
            <w:tcBorders>
              <w:top w:val="nil"/>
              <w:left w:val="nil"/>
              <w:bottom w:val="nil"/>
              <w:right w:val="nil"/>
            </w:tcBorders>
            <w:noWrap/>
            <w:vAlign w:val="bottom"/>
            <w:hideMark/>
          </w:tcPr>
          <w:p w14:paraId="462D8312" w14:textId="77777777" w:rsidR="00C36168" w:rsidRPr="007615DF" w:rsidRDefault="00C36168" w:rsidP="00F65AAC">
            <w:pPr>
              <w:spacing w:after="0" w:line="240" w:lineRule="auto"/>
              <w:jc w:val="right"/>
              <w:rPr>
                <w:rFonts w:ascii="Tahoma" w:eastAsia="Times New Roman" w:hAnsi="Tahoma" w:cs="Tahoma"/>
                <w:color w:val="000000"/>
                <w:kern w:val="0"/>
                <w:lang w:eastAsia="es-ES"/>
                <w14:ligatures w14:val="none"/>
              </w:rPr>
            </w:pPr>
            <w:r>
              <w:rPr>
                <w:rFonts w:ascii="Tahoma" w:eastAsia="Times New Roman" w:hAnsi="Tahoma" w:cs="Tahoma"/>
                <w:color w:val="000000"/>
                <w:kern w:val="0"/>
                <w:lang w:eastAsia="es-ES"/>
                <w14:ligatures w14:val="none"/>
              </w:rPr>
              <w:t>1.702</w:t>
            </w:r>
          </w:p>
        </w:tc>
        <w:tc>
          <w:tcPr>
            <w:tcW w:w="1173" w:type="dxa"/>
            <w:tcBorders>
              <w:top w:val="nil"/>
              <w:left w:val="nil"/>
              <w:bottom w:val="nil"/>
              <w:right w:val="nil"/>
            </w:tcBorders>
            <w:noWrap/>
            <w:vAlign w:val="bottom"/>
            <w:hideMark/>
          </w:tcPr>
          <w:p w14:paraId="5B0A10DF" w14:textId="77777777" w:rsidR="00C36168" w:rsidRPr="007615DF" w:rsidRDefault="00C36168" w:rsidP="00F65AAC">
            <w:pPr>
              <w:spacing w:after="0" w:line="240" w:lineRule="auto"/>
              <w:jc w:val="right"/>
              <w:rPr>
                <w:rFonts w:ascii="Tahoma" w:eastAsia="Times New Roman" w:hAnsi="Tahoma" w:cs="Tahoma"/>
                <w:color w:val="000000"/>
                <w:kern w:val="0"/>
                <w:lang w:eastAsia="es-ES"/>
                <w14:ligatures w14:val="none"/>
              </w:rPr>
            </w:pPr>
            <w:r>
              <w:rPr>
                <w:rFonts w:ascii="Tahoma" w:eastAsia="Times New Roman" w:hAnsi="Tahoma" w:cs="Tahoma"/>
                <w:color w:val="000000"/>
                <w:kern w:val="0"/>
                <w:lang w:eastAsia="es-ES"/>
                <w14:ligatures w14:val="none"/>
              </w:rPr>
              <w:t>608</w:t>
            </w:r>
          </w:p>
        </w:tc>
        <w:tc>
          <w:tcPr>
            <w:tcW w:w="1549" w:type="dxa"/>
            <w:tcBorders>
              <w:top w:val="nil"/>
              <w:left w:val="nil"/>
              <w:bottom w:val="nil"/>
              <w:right w:val="nil"/>
            </w:tcBorders>
            <w:noWrap/>
            <w:vAlign w:val="bottom"/>
            <w:hideMark/>
          </w:tcPr>
          <w:p w14:paraId="2C3611DB" w14:textId="77777777" w:rsidR="00C36168" w:rsidRPr="007615DF" w:rsidRDefault="00C36168" w:rsidP="00F65AAC">
            <w:pPr>
              <w:spacing w:after="0" w:line="240" w:lineRule="auto"/>
              <w:jc w:val="right"/>
              <w:rPr>
                <w:rFonts w:ascii="Tahoma" w:eastAsia="Times New Roman" w:hAnsi="Tahoma" w:cs="Tahoma"/>
                <w:color w:val="000000"/>
                <w:kern w:val="0"/>
                <w:lang w:eastAsia="es-ES"/>
                <w14:ligatures w14:val="none"/>
              </w:rPr>
            </w:pPr>
            <w:r>
              <w:rPr>
                <w:rFonts w:ascii="Tahoma" w:eastAsia="Times New Roman" w:hAnsi="Tahoma" w:cs="Tahoma"/>
                <w:color w:val="000000"/>
                <w:kern w:val="0"/>
                <w:lang w:eastAsia="es-ES"/>
                <w14:ligatures w14:val="none"/>
              </w:rPr>
              <w:t>49</w:t>
            </w:r>
          </w:p>
        </w:tc>
      </w:tr>
      <w:tr w:rsidR="00C36168" w:rsidRPr="007615DF" w14:paraId="6C06DE01" w14:textId="77777777" w:rsidTr="00F65AAC">
        <w:trPr>
          <w:trHeight w:val="285"/>
        </w:trPr>
        <w:tc>
          <w:tcPr>
            <w:tcW w:w="1370" w:type="dxa"/>
            <w:tcBorders>
              <w:top w:val="nil"/>
              <w:left w:val="nil"/>
              <w:bottom w:val="nil"/>
              <w:right w:val="nil"/>
            </w:tcBorders>
            <w:noWrap/>
            <w:vAlign w:val="bottom"/>
            <w:hideMark/>
          </w:tcPr>
          <w:p w14:paraId="0F55526A" w14:textId="77777777" w:rsidR="00C36168" w:rsidRPr="007615DF" w:rsidRDefault="00C36168" w:rsidP="00F65AAC">
            <w:pPr>
              <w:spacing w:after="0" w:line="240" w:lineRule="auto"/>
              <w:rPr>
                <w:rFonts w:ascii="Tahoma" w:eastAsia="Times New Roman" w:hAnsi="Tahoma" w:cs="Tahoma"/>
                <w:color w:val="000000"/>
                <w:kern w:val="0"/>
                <w:lang w:eastAsia="es-ES"/>
                <w14:ligatures w14:val="none"/>
              </w:rPr>
            </w:pPr>
            <w:r w:rsidRPr="007615DF">
              <w:rPr>
                <w:rFonts w:ascii="Tahoma" w:eastAsia="Times New Roman" w:hAnsi="Tahoma" w:cs="Tahoma"/>
                <w:color w:val="000000"/>
                <w:kern w:val="0"/>
                <w:lang w:eastAsia="es-ES"/>
                <w14:ligatures w14:val="none"/>
              </w:rPr>
              <w:t>Mora</w:t>
            </w:r>
          </w:p>
        </w:tc>
        <w:tc>
          <w:tcPr>
            <w:tcW w:w="1156" w:type="dxa"/>
            <w:tcBorders>
              <w:top w:val="nil"/>
              <w:left w:val="nil"/>
              <w:bottom w:val="nil"/>
              <w:right w:val="nil"/>
            </w:tcBorders>
            <w:noWrap/>
            <w:vAlign w:val="bottom"/>
            <w:hideMark/>
          </w:tcPr>
          <w:p w14:paraId="57476BBF" w14:textId="77777777" w:rsidR="00C36168" w:rsidRPr="007615DF" w:rsidRDefault="00C36168" w:rsidP="00F65AAC">
            <w:pPr>
              <w:spacing w:after="0" w:line="240" w:lineRule="auto"/>
              <w:jc w:val="right"/>
              <w:rPr>
                <w:rFonts w:ascii="Tahoma" w:eastAsia="Times New Roman" w:hAnsi="Tahoma" w:cs="Tahoma"/>
                <w:color w:val="000000"/>
                <w:kern w:val="0"/>
                <w:lang w:eastAsia="es-ES"/>
                <w14:ligatures w14:val="none"/>
              </w:rPr>
            </w:pPr>
            <w:r>
              <w:rPr>
                <w:rFonts w:ascii="Tahoma" w:eastAsia="Times New Roman" w:hAnsi="Tahoma" w:cs="Tahoma"/>
                <w:color w:val="000000"/>
                <w:kern w:val="0"/>
                <w:lang w:eastAsia="es-ES"/>
                <w14:ligatures w14:val="none"/>
              </w:rPr>
              <w:t>314</w:t>
            </w:r>
          </w:p>
        </w:tc>
        <w:tc>
          <w:tcPr>
            <w:tcW w:w="1120" w:type="dxa"/>
            <w:tcBorders>
              <w:top w:val="nil"/>
              <w:left w:val="nil"/>
              <w:bottom w:val="nil"/>
              <w:right w:val="nil"/>
            </w:tcBorders>
            <w:noWrap/>
            <w:vAlign w:val="bottom"/>
            <w:hideMark/>
          </w:tcPr>
          <w:p w14:paraId="69FD63EA" w14:textId="77777777" w:rsidR="00C36168" w:rsidRPr="007615DF" w:rsidRDefault="00C36168" w:rsidP="00F65AAC">
            <w:pPr>
              <w:spacing w:after="0" w:line="240" w:lineRule="auto"/>
              <w:jc w:val="right"/>
              <w:rPr>
                <w:rFonts w:ascii="Tahoma" w:eastAsia="Times New Roman" w:hAnsi="Tahoma" w:cs="Tahoma"/>
                <w:color w:val="000000"/>
                <w:kern w:val="0"/>
                <w:lang w:eastAsia="es-ES"/>
                <w14:ligatures w14:val="none"/>
              </w:rPr>
            </w:pPr>
            <w:r>
              <w:rPr>
                <w:rFonts w:ascii="Tahoma" w:eastAsia="Times New Roman" w:hAnsi="Tahoma" w:cs="Tahoma"/>
                <w:color w:val="000000"/>
                <w:kern w:val="0"/>
                <w:lang w:eastAsia="es-ES"/>
                <w14:ligatures w14:val="none"/>
              </w:rPr>
              <w:t>-242</w:t>
            </w:r>
          </w:p>
        </w:tc>
        <w:tc>
          <w:tcPr>
            <w:tcW w:w="1156" w:type="dxa"/>
            <w:tcBorders>
              <w:top w:val="nil"/>
              <w:left w:val="nil"/>
              <w:bottom w:val="nil"/>
              <w:right w:val="nil"/>
            </w:tcBorders>
            <w:noWrap/>
            <w:vAlign w:val="bottom"/>
            <w:hideMark/>
          </w:tcPr>
          <w:p w14:paraId="38EEE691" w14:textId="77777777" w:rsidR="00C36168" w:rsidRPr="007615DF" w:rsidRDefault="00C36168" w:rsidP="00F65AAC">
            <w:pPr>
              <w:spacing w:after="0" w:line="240" w:lineRule="auto"/>
              <w:jc w:val="right"/>
              <w:rPr>
                <w:rFonts w:ascii="Tahoma" w:eastAsia="Times New Roman" w:hAnsi="Tahoma" w:cs="Tahoma"/>
                <w:color w:val="000000"/>
                <w:kern w:val="0"/>
                <w:lang w:eastAsia="es-ES"/>
                <w14:ligatures w14:val="none"/>
              </w:rPr>
            </w:pPr>
            <w:r>
              <w:rPr>
                <w:rFonts w:ascii="Tahoma" w:eastAsia="Times New Roman" w:hAnsi="Tahoma" w:cs="Tahoma"/>
                <w:color w:val="000000"/>
                <w:kern w:val="0"/>
                <w:lang w:eastAsia="es-ES"/>
                <w14:ligatures w14:val="none"/>
              </w:rPr>
              <w:t>71</w:t>
            </w:r>
          </w:p>
        </w:tc>
        <w:tc>
          <w:tcPr>
            <w:tcW w:w="1210" w:type="dxa"/>
            <w:tcBorders>
              <w:top w:val="nil"/>
              <w:left w:val="nil"/>
              <w:bottom w:val="nil"/>
              <w:right w:val="nil"/>
            </w:tcBorders>
            <w:noWrap/>
            <w:vAlign w:val="bottom"/>
            <w:hideMark/>
          </w:tcPr>
          <w:p w14:paraId="40102B5B" w14:textId="77777777" w:rsidR="00C36168" w:rsidRPr="007615DF" w:rsidRDefault="00C36168" w:rsidP="00F65AAC">
            <w:pPr>
              <w:spacing w:after="0" w:line="240" w:lineRule="auto"/>
              <w:jc w:val="right"/>
              <w:rPr>
                <w:rFonts w:ascii="Tahoma" w:eastAsia="Times New Roman" w:hAnsi="Tahoma" w:cs="Tahoma"/>
                <w:color w:val="000000"/>
                <w:kern w:val="0"/>
                <w:lang w:eastAsia="es-ES"/>
                <w14:ligatures w14:val="none"/>
              </w:rPr>
            </w:pPr>
          </w:p>
        </w:tc>
        <w:tc>
          <w:tcPr>
            <w:tcW w:w="1156" w:type="dxa"/>
            <w:tcBorders>
              <w:top w:val="nil"/>
              <w:left w:val="nil"/>
              <w:bottom w:val="nil"/>
              <w:right w:val="nil"/>
            </w:tcBorders>
            <w:noWrap/>
            <w:vAlign w:val="bottom"/>
            <w:hideMark/>
          </w:tcPr>
          <w:p w14:paraId="475C245D" w14:textId="77777777" w:rsidR="00C36168" w:rsidRPr="007615DF" w:rsidRDefault="00C36168" w:rsidP="00F65AAC">
            <w:pPr>
              <w:spacing w:after="0" w:line="240" w:lineRule="auto"/>
              <w:jc w:val="right"/>
              <w:rPr>
                <w:rFonts w:ascii="Tahoma" w:eastAsia="Times New Roman" w:hAnsi="Tahoma" w:cs="Tahoma"/>
                <w:color w:val="000000"/>
                <w:kern w:val="0"/>
                <w:lang w:eastAsia="es-ES"/>
                <w14:ligatures w14:val="none"/>
              </w:rPr>
            </w:pPr>
            <w:r>
              <w:rPr>
                <w:rFonts w:ascii="Tahoma" w:eastAsia="Times New Roman" w:hAnsi="Tahoma" w:cs="Tahoma"/>
                <w:color w:val="000000"/>
                <w:kern w:val="0"/>
                <w:lang w:eastAsia="es-ES"/>
                <w14:ligatures w14:val="none"/>
              </w:rPr>
              <w:t>71</w:t>
            </w:r>
          </w:p>
        </w:tc>
        <w:tc>
          <w:tcPr>
            <w:tcW w:w="1173" w:type="dxa"/>
            <w:tcBorders>
              <w:top w:val="nil"/>
              <w:left w:val="nil"/>
              <w:bottom w:val="nil"/>
              <w:right w:val="nil"/>
            </w:tcBorders>
            <w:noWrap/>
            <w:vAlign w:val="bottom"/>
            <w:hideMark/>
          </w:tcPr>
          <w:p w14:paraId="34EBE99D" w14:textId="77777777" w:rsidR="00C36168" w:rsidRPr="007615DF" w:rsidRDefault="00C36168" w:rsidP="00F65AAC">
            <w:pPr>
              <w:spacing w:after="0" w:line="240" w:lineRule="auto"/>
              <w:jc w:val="right"/>
              <w:rPr>
                <w:rFonts w:ascii="Tahoma" w:eastAsia="Times New Roman" w:hAnsi="Tahoma" w:cs="Tahoma"/>
                <w:color w:val="000000"/>
                <w:kern w:val="0"/>
                <w:lang w:eastAsia="es-ES"/>
                <w14:ligatures w14:val="none"/>
              </w:rPr>
            </w:pPr>
            <w:r>
              <w:rPr>
                <w:rFonts w:ascii="Tahoma" w:eastAsia="Times New Roman" w:hAnsi="Tahoma" w:cs="Tahoma"/>
                <w:color w:val="000000"/>
                <w:kern w:val="0"/>
                <w:lang w:eastAsia="es-ES"/>
                <w14:ligatures w14:val="none"/>
              </w:rPr>
              <w:t>71</w:t>
            </w:r>
          </w:p>
        </w:tc>
        <w:tc>
          <w:tcPr>
            <w:tcW w:w="1549" w:type="dxa"/>
            <w:tcBorders>
              <w:top w:val="nil"/>
              <w:left w:val="nil"/>
              <w:bottom w:val="nil"/>
              <w:right w:val="nil"/>
            </w:tcBorders>
            <w:noWrap/>
            <w:vAlign w:val="bottom"/>
            <w:hideMark/>
          </w:tcPr>
          <w:p w14:paraId="596E001A" w14:textId="77777777" w:rsidR="00C36168" w:rsidRPr="007615DF" w:rsidRDefault="00C36168" w:rsidP="00F65AAC">
            <w:pPr>
              <w:spacing w:after="0" w:line="240" w:lineRule="auto"/>
              <w:jc w:val="right"/>
              <w:rPr>
                <w:rFonts w:ascii="Tahoma" w:eastAsia="Times New Roman" w:hAnsi="Tahoma" w:cs="Tahoma"/>
                <w:color w:val="000000"/>
                <w:kern w:val="0"/>
                <w:lang w:eastAsia="es-ES"/>
                <w14:ligatures w14:val="none"/>
              </w:rPr>
            </w:pPr>
            <w:r>
              <w:rPr>
                <w:rFonts w:ascii="Tahoma" w:eastAsia="Times New Roman" w:hAnsi="Tahoma" w:cs="Tahoma"/>
                <w:color w:val="000000"/>
                <w:kern w:val="0"/>
                <w:lang w:eastAsia="es-ES"/>
                <w14:ligatures w14:val="none"/>
              </w:rPr>
              <w:t>6</w:t>
            </w:r>
          </w:p>
        </w:tc>
      </w:tr>
      <w:tr w:rsidR="00C36168" w:rsidRPr="007615DF" w14:paraId="4CE58E3D" w14:textId="77777777" w:rsidTr="00F65AAC">
        <w:trPr>
          <w:trHeight w:val="285"/>
        </w:trPr>
        <w:tc>
          <w:tcPr>
            <w:tcW w:w="1370" w:type="dxa"/>
            <w:tcBorders>
              <w:top w:val="nil"/>
              <w:left w:val="nil"/>
              <w:bottom w:val="nil"/>
              <w:right w:val="nil"/>
            </w:tcBorders>
            <w:noWrap/>
            <w:vAlign w:val="bottom"/>
            <w:hideMark/>
          </w:tcPr>
          <w:p w14:paraId="5E7FB02B" w14:textId="77777777" w:rsidR="00C36168" w:rsidRPr="007615DF" w:rsidRDefault="00C36168" w:rsidP="00F65AAC">
            <w:pPr>
              <w:spacing w:after="0" w:line="240" w:lineRule="auto"/>
              <w:rPr>
                <w:rFonts w:ascii="Tahoma" w:eastAsia="Times New Roman" w:hAnsi="Tahoma" w:cs="Tahoma"/>
                <w:color w:val="000000"/>
                <w:kern w:val="0"/>
                <w:lang w:eastAsia="es-ES"/>
                <w14:ligatures w14:val="none"/>
              </w:rPr>
            </w:pPr>
            <w:r w:rsidRPr="007615DF">
              <w:rPr>
                <w:rFonts w:ascii="Tahoma" w:eastAsia="Times New Roman" w:hAnsi="Tahoma" w:cs="Tahoma"/>
                <w:color w:val="000000"/>
                <w:kern w:val="0"/>
                <w:lang w:eastAsia="es-ES"/>
                <w14:ligatures w14:val="none"/>
              </w:rPr>
              <w:t>Otras</w:t>
            </w:r>
          </w:p>
        </w:tc>
        <w:tc>
          <w:tcPr>
            <w:tcW w:w="1156" w:type="dxa"/>
            <w:tcBorders>
              <w:top w:val="nil"/>
              <w:left w:val="nil"/>
              <w:bottom w:val="nil"/>
              <w:right w:val="nil"/>
            </w:tcBorders>
            <w:noWrap/>
            <w:vAlign w:val="bottom"/>
            <w:hideMark/>
          </w:tcPr>
          <w:p w14:paraId="6396395C" w14:textId="77777777" w:rsidR="00C36168" w:rsidRPr="007615DF" w:rsidRDefault="00C36168" w:rsidP="00F65AAC">
            <w:pPr>
              <w:spacing w:after="0" w:line="240" w:lineRule="auto"/>
              <w:jc w:val="right"/>
              <w:rPr>
                <w:rFonts w:ascii="Tahoma" w:eastAsia="Times New Roman" w:hAnsi="Tahoma" w:cs="Tahoma"/>
                <w:color w:val="000000"/>
                <w:kern w:val="0"/>
                <w:lang w:eastAsia="es-ES"/>
                <w14:ligatures w14:val="none"/>
              </w:rPr>
            </w:pPr>
            <w:r>
              <w:rPr>
                <w:rFonts w:ascii="Tahoma" w:eastAsia="Times New Roman" w:hAnsi="Tahoma" w:cs="Tahoma"/>
                <w:color w:val="000000"/>
                <w:kern w:val="0"/>
                <w:lang w:eastAsia="es-ES"/>
                <w14:ligatures w14:val="none"/>
              </w:rPr>
              <w:t>173</w:t>
            </w:r>
          </w:p>
        </w:tc>
        <w:tc>
          <w:tcPr>
            <w:tcW w:w="1120" w:type="dxa"/>
            <w:tcBorders>
              <w:top w:val="nil"/>
              <w:left w:val="nil"/>
              <w:bottom w:val="nil"/>
              <w:right w:val="nil"/>
            </w:tcBorders>
            <w:noWrap/>
            <w:vAlign w:val="bottom"/>
            <w:hideMark/>
          </w:tcPr>
          <w:p w14:paraId="1523732A" w14:textId="77777777" w:rsidR="00C36168" w:rsidRPr="007615DF" w:rsidRDefault="00C36168" w:rsidP="00F65AAC">
            <w:pPr>
              <w:spacing w:after="0" w:line="240" w:lineRule="auto"/>
              <w:jc w:val="right"/>
              <w:rPr>
                <w:rFonts w:ascii="Tahoma" w:eastAsia="Times New Roman" w:hAnsi="Tahoma" w:cs="Tahoma"/>
                <w:color w:val="000000"/>
                <w:kern w:val="0"/>
                <w:lang w:eastAsia="es-ES"/>
                <w14:ligatures w14:val="none"/>
              </w:rPr>
            </w:pPr>
            <w:r>
              <w:rPr>
                <w:rFonts w:ascii="Tahoma" w:eastAsia="Times New Roman" w:hAnsi="Tahoma" w:cs="Tahoma"/>
                <w:color w:val="000000"/>
                <w:kern w:val="0"/>
                <w:lang w:eastAsia="es-ES"/>
                <w14:ligatures w14:val="none"/>
              </w:rPr>
              <w:t>0</w:t>
            </w:r>
          </w:p>
        </w:tc>
        <w:tc>
          <w:tcPr>
            <w:tcW w:w="1156" w:type="dxa"/>
            <w:tcBorders>
              <w:top w:val="nil"/>
              <w:left w:val="nil"/>
              <w:bottom w:val="nil"/>
              <w:right w:val="nil"/>
            </w:tcBorders>
            <w:noWrap/>
            <w:vAlign w:val="bottom"/>
            <w:hideMark/>
          </w:tcPr>
          <w:p w14:paraId="0C05C596" w14:textId="77777777" w:rsidR="00C36168" w:rsidRPr="007615DF" w:rsidRDefault="00C36168" w:rsidP="00F65AAC">
            <w:pPr>
              <w:spacing w:after="0" w:line="240" w:lineRule="auto"/>
              <w:jc w:val="right"/>
              <w:rPr>
                <w:rFonts w:ascii="Tahoma" w:eastAsia="Times New Roman" w:hAnsi="Tahoma" w:cs="Tahoma"/>
                <w:color w:val="000000"/>
                <w:kern w:val="0"/>
                <w:lang w:eastAsia="es-ES"/>
                <w14:ligatures w14:val="none"/>
              </w:rPr>
            </w:pPr>
            <w:r>
              <w:rPr>
                <w:rFonts w:ascii="Tahoma" w:eastAsia="Times New Roman" w:hAnsi="Tahoma" w:cs="Tahoma"/>
                <w:color w:val="000000"/>
                <w:kern w:val="0"/>
                <w:lang w:eastAsia="es-ES"/>
                <w14:ligatures w14:val="none"/>
              </w:rPr>
              <w:t>173</w:t>
            </w:r>
          </w:p>
        </w:tc>
        <w:tc>
          <w:tcPr>
            <w:tcW w:w="1210" w:type="dxa"/>
            <w:tcBorders>
              <w:top w:val="nil"/>
              <w:left w:val="nil"/>
              <w:bottom w:val="nil"/>
              <w:right w:val="nil"/>
            </w:tcBorders>
            <w:noWrap/>
            <w:vAlign w:val="bottom"/>
            <w:hideMark/>
          </w:tcPr>
          <w:p w14:paraId="5479CF3A" w14:textId="77777777" w:rsidR="00C36168" w:rsidRPr="007615DF" w:rsidRDefault="00C36168" w:rsidP="00F65AAC">
            <w:pPr>
              <w:spacing w:after="0" w:line="240" w:lineRule="auto"/>
              <w:jc w:val="right"/>
              <w:rPr>
                <w:rFonts w:ascii="Tahoma" w:eastAsia="Times New Roman" w:hAnsi="Tahoma" w:cs="Tahoma"/>
                <w:color w:val="000000"/>
                <w:kern w:val="0"/>
                <w:lang w:eastAsia="es-ES"/>
                <w14:ligatures w14:val="none"/>
              </w:rPr>
            </w:pPr>
          </w:p>
        </w:tc>
        <w:tc>
          <w:tcPr>
            <w:tcW w:w="1156" w:type="dxa"/>
            <w:tcBorders>
              <w:top w:val="nil"/>
              <w:left w:val="nil"/>
              <w:bottom w:val="nil"/>
              <w:right w:val="nil"/>
            </w:tcBorders>
            <w:noWrap/>
            <w:vAlign w:val="bottom"/>
            <w:hideMark/>
          </w:tcPr>
          <w:p w14:paraId="600FC5B3" w14:textId="77777777" w:rsidR="00C36168" w:rsidRPr="007615DF" w:rsidRDefault="00C36168" w:rsidP="00F65AAC">
            <w:pPr>
              <w:spacing w:after="0" w:line="240" w:lineRule="auto"/>
              <w:jc w:val="right"/>
              <w:rPr>
                <w:rFonts w:ascii="Tahoma" w:eastAsia="Times New Roman" w:hAnsi="Tahoma" w:cs="Tahoma"/>
                <w:color w:val="000000"/>
                <w:kern w:val="0"/>
                <w:lang w:eastAsia="es-ES"/>
                <w14:ligatures w14:val="none"/>
              </w:rPr>
            </w:pPr>
            <w:r>
              <w:rPr>
                <w:rFonts w:ascii="Tahoma" w:eastAsia="Times New Roman" w:hAnsi="Tahoma" w:cs="Tahoma"/>
                <w:color w:val="000000"/>
                <w:kern w:val="0"/>
                <w:lang w:eastAsia="es-ES"/>
                <w14:ligatures w14:val="none"/>
              </w:rPr>
              <w:t>173</w:t>
            </w:r>
          </w:p>
        </w:tc>
        <w:tc>
          <w:tcPr>
            <w:tcW w:w="1173" w:type="dxa"/>
            <w:tcBorders>
              <w:top w:val="nil"/>
              <w:left w:val="nil"/>
              <w:bottom w:val="nil"/>
              <w:right w:val="nil"/>
            </w:tcBorders>
            <w:noWrap/>
            <w:vAlign w:val="bottom"/>
            <w:hideMark/>
          </w:tcPr>
          <w:p w14:paraId="582057DE" w14:textId="77777777" w:rsidR="00C36168" w:rsidRPr="007615DF" w:rsidRDefault="00C36168" w:rsidP="00F65AAC">
            <w:pPr>
              <w:spacing w:after="0" w:line="240" w:lineRule="auto"/>
              <w:jc w:val="right"/>
              <w:rPr>
                <w:rFonts w:ascii="Tahoma" w:eastAsia="Times New Roman" w:hAnsi="Tahoma" w:cs="Tahoma"/>
                <w:color w:val="000000"/>
                <w:kern w:val="0"/>
                <w:lang w:eastAsia="es-ES"/>
                <w14:ligatures w14:val="none"/>
              </w:rPr>
            </w:pPr>
            <w:r>
              <w:rPr>
                <w:rFonts w:ascii="Tahoma" w:eastAsia="Times New Roman" w:hAnsi="Tahoma" w:cs="Tahoma"/>
                <w:color w:val="000000"/>
                <w:kern w:val="0"/>
                <w:lang w:eastAsia="es-ES"/>
                <w14:ligatures w14:val="none"/>
              </w:rPr>
              <w:t>173</w:t>
            </w:r>
          </w:p>
        </w:tc>
        <w:tc>
          <w:tcPr>
            <w:tcW w:w="1549" w:type="dxa"/>
            <w:tcBorders>
              <w:top w:val="nil"/>
              <w:left w:val="nil"/>
              <w:bottom w:val="nil"/>
              <w:right w:val="nil"/>
            </w:tcBorders>
            <w:noWrap/>
            <w:vAlign w:val="bottom"/>
            <w:hideMark/>
          </w:tcPr>
          <w:p w14:paraId="6BD7B271" w14:textId="77777777" w:rsidR="00C36168" w:rsidRPr="007615DF" w:rsidRDefault="00C36168" w:rsidP="00F65AAC">
            <w:pPr>
              <w:spacing w:after="0" w:line="240" w:lineRule="auto"/>
              <w:jc w:val="right"/>
              <w:rPr>
                <w:rFonts w:ascii="Tahoma" w:eastAsia="Times New Roman" w:hAnsi="Tahoma" w:cs="Tahoma"/>
                <w:color w:val="000000"/>
                <w:kern w:val="0"/>
                <w:lang w:eastAsia="es-ES"/>
                <w14:ligatures w14:val="none"/>
              </w:rPr>
            </w:pPr>
            <w:r>
              <w:rPr>
                <w:rFonts w:ascii="Tahoma" w:eastAsia="Times New Roman" w:hAnsi="Tahoma" w:cs="Tahoma"/>
                <w:color w:val="000000"/>
                <w:kern w:val="0"/>
                <w:lang w:eastAsia="es-ES"/>
                <w14:ligatures w14:val="none"/>
              </w:rPr>
              <w:t>14</w:t>
            </w:r>
          </w:p>
        </w:tc>
      </w:tr>
      <w:tr w:rsidR="00C36168" w:rsidRPr="007615DF" w14:paraId="686F9DCF" w14:textId="77777777" w:rsidTr="00F65AAC">
        <w:trPr>
          <w:trHeight w:val="300"/>
        </w:trPr>
        <w:tc>
          <w:tcPr>
            <w:tcW w:w="1370" w:type="dxa"/>
            <w:tcBorders>
              <w:top w:val="single" w:sz="4" w:space="0" w:color="auto"/>
              <w:left w:val="nil"/>
              <w:bottom w:val="double" w:sz="6" w:space="0" w:color="auto"/>
              <w:right w:val="nil"/>
            </w:tcBorders>
            <w:noWrap/>
            <w:vAlign w:val="bottom"/>
            <w:hideMark/>
          </w:tcPr>
          <w:p w14:paraId="1D8E974C" w14:textId="77777777" w:rsidR="00C36168" w:rsidRPr="007615DF" w:rsidRDefault="00C36168" w:rsidP="00F65AAC">
            <w:pPr>
              <w:spacing w:after="0" w:line="240" w:lineRule="auto"/>
              <w:rPr>
                <w:rFonts w:ascii="Tahoma" w:eastAsia="Times New Roman" w:hAnsi="Tahoma" w:cs="Tahoma"/>
                <w:color w:val="000000"/>
                <w:kern w:val="0"/>
                <w:lang w:eastAsia="es-ES"/>
                <w14:ligatures w14:val="none"/>
              </w:rPr>
            </w:pPr>
            <w:r w:rsidRPr="007615DF">
              <w:rPr>
                <w:rFonts w:ascii="Tahoma" w:eastAsia="Times New Roman" w:hAnsi="Tahoma" w:cs="Tahoma"/>
                <w:color w:val="000000"/>
                <w:kern w:val="0"/>
                <w:lang w:eastAsia="es-ES"/>
                <w14:ligatures w14:val="none"/>
              </w:rPr>
              <w:t> </w:t>
            </w:r>
            <w:r>
              <w:rPr>
                <w:rFonts w:ascii="Tahoma" w:eastAsia="Times New Roman" w:hAnsi="Tahoma" w:cs="Tahoma"/>
                <w:color w:val="000000"/>
                <w:kern w:val="0"/>
                <w:lang w:eastAsia="es-ES"/>
                <w14:ligatures w14:val="none"/>
              </w:rPr>
              <w:t>TOTALES</w:t>
            </w:r>
          </w:p>
        </w:tc>
        <w:tc>
          <w:tcPr>
            <w:tcW w:w="1156" w:type="dxa"/>
            <w:tcBorders>
              <w:top w:val="single" w:sz="4" w:space="0" w:color="auto"/>
              <w:left w:val="nil"/>
              <w:bottom w:val="double" w:sz="6" w:space="0" w:color="auto"/>
              <w:right w:val="nil"/>
            </w:tcBorders>
            <w:noWrap/>
            <w:vAlign w:val="bottom"/>
            <w:hideMark/>
          </w:tcPr>
          <w:p w14:paraId="024F0FFC" w14:textId="77777777" w:rsidR="00C36168" w:rsidRPr="007615DF" w:rsidRDefault="00C36168" w:rsidP="00F65AAC">
            <w:pPr>
              <w:spacing w:after="0" w:line="240" w:lineRule="auto"/>
              <w:jc w:val="right"/>
              <w:rPr>
                <w:rFonts w:ascii="Tahoma" w:eastAsia="Times New Roman" w:hAnsi="Tahoma" w:cs="Tahoma"/>
                <w:color w:val="000000"/>
                <w:kern w:val="0"/>
                <w:lang w:eastAsia="es-ES"/>
                <w14:ligatures w14:val="none"/>
              </w:rPr>
            </w:pPr>
            <w:r>
              <w:rPr>
                <w:rFonts w:ascii="Tahoma" w:eastAsia="Times New Roman" w:hAnsi="Tahoma" w:cs="Tahoma"/>
                <w:color w:val="000000"/>
                <w:kern w:val="0"/>
                <w:lang w:eastAsia="es-ES"/>
                <w14:ligatures w14:val="none"/>
              </w:rPr>
              <w:t>10.571</w:t>
            </w:r>
          </w:p>
        </w:tc>
        <w:tc>
          <w:tcPr>
            <w:tcW w:w="1120" w:type="dxa"/>
            <w:tcBorders>
              <w:top w:val="single" w:sz="4" w:space="0" w:color="auto"/>
              <w:left w:val="nil"/>
              <w:bottom w:val="double" w:sz="6" w:space="0" w:color="auto"/>
              <w:right w:val="nil"/>
            </w:tcBorders>
            <w:noWrap/>
            <w:vAlign w:val="bottom"/>
            <w:hideMark/>
          </w:tcPr>
          <w:p w14:paraId="2E24F410" w14:textId="77777777" w:rsidR="00C36168" w:rsidRPr="007615DF" w:rsidRDefault="00C36168" w:rsidP="00F65AAC">
            <w:pPr>
              <w:spacing w:after="0" w:line="240" w:lineRule="auto"/>
              <w:jc w:val="right"/>
              <w:rPr>
                <w:rFonts w:ascii="Tahoma" w:eastAsia="Times New Roman" w:hAnsi="Tahoma" w:cs="Tahoma"/>
                <w:color w:val="000000"/>
                <w:kern w:val="0"/>
                <w:lang w:eastAsia="es-ES"/>
                <w14:ligatures w14:val="none"/>
              </w:rPr>
            </w:pPr>
            <w:r>
              <w:rPr>
                <w:rFonts w:ascii="Tahoma" w:eastAsia="Times New Roman" w:hAnsi="Tahoma" w:cs="Tahoma"/>
                <w:color w:val="000000"/>
                <w:kern w:val="0"/>
                <w:lang w:eastAsia="es-ES"/>
                <w14:ligatures w14:val="none"/>
              </w:rPr>
              <w:t>-281</w:t>
            </w:r>
          </w:p>
        </w:tc>
        <w:tc>
          <w:tcPr>
            <w:tcW w:w="1156" w:type="dxa"/>
            <w:tcBorders>
              <w:top w:val="single" w:sz="4" w:space="0" w:color="auto"/>
              <w:left w:val="nil"/>
              <w:bottom w:val="double" w:sz="6" w:space="0" w:color="auto"/>
              <w:right w:val="nil"/>
            </w:tcBorders>
            <w:noWrap/>
            <w:vAlign w:val="bottom"/>
            <w:hideMark/>
          </w:tcPr>
          <w:p w14:paraId="5AB3E886" w14:textId="77777777" w:rsidR="00C36168" w:rsidRPr="007615DF" w:rsidRDefault="00C36168" w:rsidP="00F65AAC">
            <w:pPr>
              <w:spacing w:after="0" w:line="240" w:lineRule="auto"/>
              <w:jc w:val="right"/>
              <w:rPr>
                <w:rFonts w:ascii="Tahoma" w:eastAsia="Times New Roman" w:hAnsi="Tahoma" w:cs="Tahoma"/>
                <w:color w:val="000000"/>
                <w:kern w:val="0"/>
                <w:lang w:eastAsia="es-ES"/>
                <w14:ligatures w14:val="none"/>
              </w:rPr>
            </w:pPr>
            <w:r>
              <w:rPr>
                <w:rFonts w:ascii="Tahoma" w:eastAsia="Times New Roman" w:hAnsi="Tahoma" w:cs="Tahoma"/>
                <w:color w:val="000000"/>
                <w:kern w:val="0"/>
                <w:lang w:eastAsia="es-ES"/>
                <w14:ligatures w14:val="none"/>
              </w:rPr>
              <w:t>10.291</w:t>
            </w:r>
          </w:p>
        </w:tc>
        <w:tc>
          <w:tcPr>
            <w:tcW w:w="1210" w:type="dxa"/>
            <w:tcBorders>
              <w:top w:val="single" w:sz="4" w:space="0" w:color="auto"/>
              <w:left w:val="nil"/>
              <w:bottom w:val="double" w:sz="6" w:space="0" w:color="auto"/>
              <w:right w:val="nil"/>
            </w:tcBorders>
            <w:noWrap/>
            <w:vAlign w:val="bottom"/>
            <w:hideMark/>
          </w:tcPr>
          <w:p w14:paraId="42EC3DF0" w14:textId="77777777" w:rsidR="00C36168" w:rsidRPr="007615DF" w:rsidRDefault="00C36168" w:rsidP="00F65AAC">
            <w:pPr>
              <w:spacing w:after="0" w:line="240" w:lineRule="auto"/>
              <w:jc w:val="right"/>
              <w:rPr>
                <w:rFonts w:ascii="Tahoma" w:eastAsia="Times New Roman" w:hAnsi="Tahoma" w:cs="Tahoma"/>
                <w:color w:val="000000"/>
                <w:kern w:val="0"/>
                <w:lang w:eastAsia="es-ES"/>
                <w14:ligatures w14:val="none"/>
              </w:rPr>
            </w:pPr>
            <w:r>
              <w:rPr>
                <w:rFonts w:ascii="Tahoma" w:eastAsia="Times New Roman" w:hAnsi="Tahoma" w:cs="Tahoma"/>
                <w:color w:val="000000"/>
                <w:kern w:val="0"/>
                <w:lang w:eastAsia="es-ES"/>
                <w14:ligatures w14:val="none"/>
              </w:rPr>
              <w:t>-27</w:t>
            </w:r>
          </w:p>
        </w:tc>
        <w:tc>
          <w:tcPr>
            <w:tcW w:w="1156" w:type="dxa"/>
            <w:tcBorders>
              <w:top w:val="single" w:sz="4" w:space="0" w:color="auto"/>
              <w:left w:val="nil"/>
              <w:bottom w:val="double" w:sz="6" w:space="0" w:color="auto"/>
              <w:right w:val="nil"/>
            </w:tcBorders>
            <w:noWrap/>
            <w:vAlign w:val="bottom"/>
            <w:hideMark/>
          </w:tcPr>
          <w:p w14:paraId="7C10F12F" w14:textId="77777777" w:rsidR="00C36168" w:rsidRPr="007615DF" w:rsidRDefault="00C36168" w:rsidP="00F65AAC">
            <w:pPr>
              <w:spacing w:after="0" w:line="240" w:lineRule="auto"/>
              <w:jc w:val="right"/>
              <w:rPr>
                <w:rFonts w:ascii="Tahoma" w:eastAsia="Times New Roman" w:hAnsi="Tahoma" w:cs="Tahoma"/>
                <w:color w:val="000000"/>
                <w:kern w:val="0"/>
                <w:lang w:eastAsia="es-ES"/>
                <w14:ligatures w14:val="none"/>
              </w:rPr>
            </w:pPr>
            <w:r>
              <w:rPr>
                <w:rFonts w:ascii="Tahoma" w:eastAsia="Times New Roman" w:hAnsi="Tahoma" w:cs="Tahoma"/>
                <w:color w:val="000000"/>
                <w:kern w:val="0"/>
                <w:lang w:eastAsia="es-ES"/>
                <w14:ligatures w14:val="none"/>
              </w:rPr>
              <w:t>10.263</w:t>
            </w:r>
          </w:p>
        </w:tc>
        <w:tc>
          <w:tcPr>
            <w:tcW w:w="1173" w:type="dxa"/>
            <w:tcBorders>
              <w:top w:val="single" w:sz="4" w:space="0" w:color="auto"/>
              <w:left w:val="nil"/>
              <w:bottom w:val="double" w:sz="6" w:space="0" w:color="auto"/>
              <w:right w:val="nil"/>
            </w:tcBorders>
            <w:noWrap/>
            <w:vAlign w:val="bottom"/>
            <w:hideMark/>
          </w:tcPr>
          <w:p w14:paraId="31017F7A" w14:textId="77777777" w:rsidR="00C36168" w:rsidRPr="007615DF" w:rsidRDefault="00C36168" w:rsidP="00F65AAC">
            <w:pPr>
              <w:spacing w:after="0" w:line="240" w:lineRule="auto"/>
              <w:jc w:val="right"/>
              <w:rPr>
                <w:rFonts w:ascii="Tahoma" w:eastAsia="Times New Roman" w:hAnsi="Tahoma" w:cs="Tahoma"/>
                <w:color w:val="000000"/>
                <w:kern w:val="0"/>
                <w:lang w:eastAsia="es-ES"/>
                <w14:ligatures w14:val="none"/>
              </w:rPr>
            </w:pPr>
            <w:r>
              <w:rPr>
                <w:rFonts w:ascii="Tahoma" w:eastAsia="Times New Roman" w:hAnsi="Tahoma" w:cs="Tahoma"/>
                <w:color w:val="000000"/>
                <w:kern w:val="0"/>
                <w:lang w:eastAsia="es-ES"/>
                <w14:ligatures w14:val="none"/>
              </w:rPr>
              <w:t>3.809</w:t>
            </w:r>
          </w:p>
        </w:tc>
        <w:tc>
          <w:tcPr>
            <w:tcW w:w="1549" w:type="dxa"/>
            <w:tcBorders>
              <w:top w:val="single" w:sz="4" w:space="0" w:color="auto"/>
              <w:left w:val="nil"/>
              <w:bottom w:val="double" w:sz="6" w:space="0" w:color="auto"/>
              <w:right w:val="nil"/>
            </w:tcBorders>
            <w:noWrap/>
            <w:vAlign w:val="bottom"/>
            <w:hideMark/>
          </w:tcPr>
          <w:p w14:paraId="21843846" w14:textId="77777777" w:rsidR="00C36168" w:rsidRPr="007615DF" w:rsidRDefault="00C36168" w:rsidP="00F65AAC">
            <w:pPr>
              <w:spacing w:after="0" w:line="240" w:lineRule="auto"/>
              <w:jc w:val="right"/>
              <w:rPr>
                <w:rFonts w:ascii="Tahoma" w:eastAsia="Times New Roman" w:hAnsi="Tahoma" w:cs="Tahoma"/>
                <w:color w:val="000000"/>
                <w:kern w:val="0"/>
                <w:lang w:eastAsia="es-ES"/>
                <w14:ligatures w14:val="none"/>
              </w:rPr>
            </w:pPr>
            <w:r>
              <w:rPr>
                <w:rFonts w:ascii="Tahoma" w:eastAsia="Times New Roman" w:hAnsi="Tahoma" w:cs="Tahoma"/>
                <w:color w:val="000000"/>
                <w:kern w:val="0"/>
                <w:lang w:eastAsia="es-ES"/>
                <w14:ligatures w14:val="none"/>
              </w:rPr>
              <w:t>305</w:t>
            </w:r>
          </w:p>
        </w:tc>
      </w:tr>
    </w:tbl>
    <w:p w14:paraId="1D05F9E0" w14:textId="77777777" w:rsidR="00C36168" w:rsidRDefault="00C36168" w:rsidP="00C36168">
      <w:pPr>
        <w:pStyle w:val="Default"/>
        <w:spacing w:after="120"/>
        <w:jc w:val="both"/>
      </w:pPr>
    </w:p>
    <w:p w14:paraId="094FBA87" w14:textId="77777777" w:rsidR="00C36168" w:rsidRPr="00047017" w:rsidRDefault="00C36168" w:rsidP="00C36168">
      <w:pPr>
        <w:pStyle w:val="Default"/>
        <w:spacing w:after="120"/>
        <w:jc w:val="both"/>
        <w:rPr>
          <w:b/>
          <w:bCs/>
          <w:color w:val="626A1A" w:themeColor="accent3" w:themeShade="80"/>
          <w:sz w:val="22"/>
          <w:szCs w:val="22"/>
        </w:rPr>
      </w:pPr>
      <w:r w:rsidRPr="00047017">
        <w:rPr>
          <w:b/>
          <w:bCs/>
          <w:color w:val="626A1A" w:themeColor="accent3" w:themeShade="80"/>
          <w:sz w:val="22"/>
          <w:szCs w:val="22"/>
        </w:rPr>
        <w:t>3.2. Importe de los requerimientos de recursos propios mínimos por</w:t>
      </w:r>
      <w:r>
        <w:rPr>
          <w:b/>
          <w:bCs/>
          <w:color w:val="626A1A" w:themeColor="accent3" w:themeShade="80"/>
          <w:sz w:val="22"/>
          <w:szCs w:val="22"/>
        </w:rPr>
        <w:t xml:space="preserve"> </w:t>
      </w:r>
      <w:r w:rsidRPr="00047017">
        <w:rPr>
          <w:b/>
          <w:bCs/>
          <w:color w:val="626A1A" w:themeColor="accent3" w:themeShade="80"/>
          <w:sz w:val="22"/>
          <w:szCs w:val="22"/>
        </w:rPr>
        <w:t>riesgo de contraparte y de posición.</w:t>
      </w:r>
    </w:p>
    <w:p w14:paraId="52B390B4" w14:textId="77777777" w:rsidR="00C36168" w:rsidRPr="00FF7433" w:rsidRDefault="00C36168" w:rsidP="00C36168">
      <w:pPr>
        <w:autoSpaceDE w:val="0"/>
        <w:autoSpaceDN w:val="0"/>
        <w:adjustRightInd w:val="0"/>
        <w:spacing w:after="120" w:line="240" w:lineRule="auto"/>
        <w:jc w:val="both"/>
        <w:rPr>
          <w:rFonts w:ascii="Tahoma" w:hAnsi="Tahoma" w:cs="Tahoma"/>
          <w:color w:val="000000"/>
          <w:kern w:val="0"/>
        </w:rPr>
      </w:pPr>
      <w:r w:rsidRPr="00FF7433">
        <w:rPr>
          <w:rFonts w:ascii="Tahoma" w:hAnsi="Tahoma" w:cs="Tahoma"/>
          <w:color w:val="000000"/>
          <w:kern w:val="0"/>
        </w:rPr>
        <w:t>La Entidad no presenta riesgo de contraparte y posición.</w:t>
      </w:r>
    </w:p>
    <w:p w14:paraId="4DC3240E" w14:textId="77777777" w:rsidR="00C36168" w:rsidRPr="00047017" w:rsidRDefault="00C36168" w:rsidP="00C36168">
      <w:pPr>
        <w:pStyle w:val="Default"/>
        <w:spacing w:after="120"/>
        <w:jc w:val="both"/>
        <w:rPr>
          <w:b/>
          <w:bCs/>
          <w:color w:val="626A1A" w:themeColor="accent3" w:themeShade="80"/>
          <w:sz w:val="22"/>
          <w:szCs w:val="22"/>
        </w:rPr>
      </w:pPr>
      <w:r w:rsidRPr="00047017">
        <w:rPr>
          <w:b/>
          <w:bCs/>
          <w:color w:val="626A1A" w:themeColor="accent3" w:themeShade="80"/>
          <w:sz w:val="22"/>
          <w:szCs w:val="22"/>
        </w:rPr>
        <w:t>3.3. Importe de los requerimientos de recursos propios mínimos por riesgo de cambio.</w:t>
      </w:r>
    </w:p>
    <w:p w14:paraId="524AFEAF" w14:textId="77777777" w:rsidR="00C36168" w:rsidRPr="00FF7433" w:rsidRDefault="00C36168" w:rsidP="00C36168">
      <w:pPr>
        <w:autoSpaceDE w:val="0"/>
        <w:autoSpaceDN w:val="0"/>
        <w:adjustRightInd w:val="0"/>
        <w:spacing w:after="120" w:line="240" w:lineRule="auto"/>
        <w:jc w:val="both"/>
        <w:rPr>
          <w:rFonts w:ascii="Tahoma" w:hAnsi="Tahoma" w:cs="Tahoma"/>
          <w:color w:val="000000"/>
          <w:kern w:val="0"/>
        </w:rPr>
      </w:pPr>
      <w:r w:rsidRPr="00FF7433">
        <w:rPr>
          <w:rFonts w:ascii="Tahoma" w:hAnsi="Tahoma" w:cs="Tahoma"/>
          <w:color w:val="000000"/>
          <w:kern w:val="0"/>
        </w:rPr>
        <w:t>La Entidad no presenta riesgo de cambio.</w:t>
      </w:r>
    </w:p>
    <w:p w14:paraId="221951FF" w14:textId="77777777" w:rsidR="00C36168" w:rsidRPr="00047017" w:rsidRDefault="00C36168" w:rsidP="00C36168">
      <w:pPr>
        <w:pStyle w:val="Default"/>
        <w:spacing w:after="120"/>
        <w:jc w:val="both"/>
        <w:rPr>
          <w:b/>
          <w:bCs/>
          <w:color w:val="626A1A" w:themeColor="accent3" w:themeShade="80"/>
          <w:sz w:val="22"/>
          <w:szCs w:val="22"/>
        </w:rPr>
      </w:pPr>
      <w:r w:rsidRPr="00047017">
        <w:rPr>
          <w:b/>
          <w:bCs/>
          <w:color w:val="626A1A" w:themeColor="accent3" w:themeShade="80"/>
          <w:sz w:val="22"/>
          <w:szCs w:val="22"/>
        </w:rPr>
        <w:t>3.4. Importe de los requerimientos de recursos propios mínimos por riesgo operacional.</w:t>
      </w:r>
    </w:p>
    <w:p w14:paraId="406B75FC" w14:textId="77777777" w:rsidR="00C36168" w:rsidRPr="00FF7433" w:rsidRDefault="00C36168" w:rsidP="00C36168">
      <w:pPr>
        <w:autoSpaceDE w:val="0"/>
        <w:autoSpaceDN w:val="0"/>
        <w:adjustRightInd w:val="0"/>
        <w:spacing w:after="120" w:line="240" w:lineRule="auto"/>
        <w:jc w:val="both"/>
        <w:rPr>
          <w:rFonts w:ascii="Tahoma" w:hAnsi="Tahoma" w:cs="Tahoma"/>
          <w:color w:val="000000"/>
          <w:kern w:val="0"/>
        </w:rPr>
      </w:pPr>
      <w:r w:rsidRPr="00FF7433">
        <w:rPr>
          <w:rFonts w:ascii="Tahoma" w:hAnsi="Tahoma" w:cs="Tahoma"/>
          <w:color w:val="000000"/>
          <w:kern w:val="0"/>
        </w:rPr>
        <w:lastRenderedPageBreak/>
        <w:t xml:space="preserve">Para evaluar las necesidades de capital por riesgo operacional </w:t>
      </w:r>
      <w:r>
        <w:rPr>
          <w:rFonts w:ascii="Tahoma" w:hAnsi="Tahoma" w:cs="Tahoma"/>
          <w:color w:val="000000"/>
          <w:kern w:val="0"/>
        </w:rPr>
        <w:t>la Entidad utiliza</w:t>
      </w:r>
      <w:r w:rsidRPr="00FF7433">
        <w:rPr>
          <w:rFonts w:ascii="Tahoma" w:hAnsi="Tahoma" w:cs="Tahoma"/>
          <w:color w:val="000000"/>
          <w:kern w:val="0"/>
        </w:rPr>
        <w:t xml:space="preserve"> el Método del indicador </w:t>
      </w:r>
      <w:r>
        <w:rPr>
          <w:rFonts w:ascii="Tahoma" w:hAnsi="Tahoma" w:cs="Tahoma"/>
          <w:color w:val="000000"/>
          <w:kern w:val="0"/>
        </w:rPr>
        <w:t>de actividad</w:t>
      </w:r>
      <w:r w:rsidRPr="00FF7433">
        <w:rPr>
          <w:rFonts w:ascii="Tahoma" w:hAnsi="Tahoma" w:cs="Tahoma"/>
          <w:color w:val="000000"/>
          <w:kern w:val="0"/>
        </w:rPr>
        <w:t>.</w:t>
      </w:r>
    </w:p>
    <w:p w14:paraId="759A0FEC" w14:textId="77777777" w:rsidR="00C36168" w:rsidRDefault="00C36168" w:rsidP="00C36168">
      <w:pPr>
        <w:autoSpaceDE w:val="0"/>
        <w:autoSpaceDN w:val="0"/>
        <w:adjustRightInd w:val="0"/>
        <w:spacing w:after="120" w:line="240" w:lineRule="auto"/>
        <w:jc w:val="both"/>
        <w:rPr>
          <w:rFonts w:ascii="Tahoma" w:hAnsi="Tahoma" w:cs="Tahoma"/>
          <w:color w:val="000000"/>
          <w:kern w:val="0"/>
        </w:rPr>
      </w:pPr>
      <w:r>
        <w:rPr>
          <w:rFonts w:ascii="Tahoma" w:hAnsi="Tahoma" w:cs="Tahoma"/>
          <w:color w:val="000000"/>
          <w:kern w:val="0"/>
        </w:rPr>
        <w:t>Para llegar al importe del indicador de actividad (BI), se utilizan los siguientes parámetros:</w:t>
      </w:r>
    </w:p>
    <w:p w14:paraId="3261C699" w14:textId="77777777" w:rsidR="00C36168" w:rsidRDefault="00C36168" w:rsidP="00C36168">
      <w:pPr>
        <w:autoSpaceDE w:val="0"/>
        <w:autoSpaceDN w:val="0"/>
        <w:adjustRightInd w:val="0"/>
        <w:spacing w:after="120" w:line="240" w:lineRule="auto"/>
        <w:jc w:val="both"/>
        <w:rPr>
          <w:rFonts w:ascii="Tahoma" w:hAnsi="Tahoma" w:cs="Tahoma"/>
          <w:color w:val="000000"/>
          <w:kern w:val="0"/>
        </w:rPr>
      </w:pPr>
      <w:r>
        <w:rPr>
          <w:rFonts w:ascii="Tahoma" w:hAnsi="Tahoma" w:cs="Tahoma"/>
          <w:color w:val="000000"/>
          <w:kern w:val="0"/>
        </w:rPr>
        <w:t>ILDC: Componente de intereses, arrendamientos y dividendos</w:t>
      </w:r>
    </w:p>
    <w:p w14:paraId="6C0CAAC7" w14:textId="77777777" w:rsidR="00C36168" w:rsidRDefault="00C36168" w:rsidP="00C36168">
      <w:pPr>
        <w:autoSpaceDE w:val="0"/>
        <w:autoSpaceDN w:val="0"/>
        <w:adjustRightInd w:val="0"/>
        <w:spacing w:after="120" w:line="240" w:lineRule="auto"/>
        <w:jc w:val="both"/>
        <w:rPr>
          <w:rFonts w:ascii="Tahoma" w:hAnsi="Tahoma" w:cs="Tahoma"/>
          <w:color w:val="000000"/>
          <w:kern w:val="0"/>
        </w:rPr>
      </w:pPr>
      <w:r>
        <w:rPr>
          <w:rFonts w:ascii="Tahoma" w:hAnsi="Tahoma" w:cs="Tahoma"/>
          <w:color w:val="000000"/>
          <w:kern w:val="0"/>
        </w:rPr>
        <w:t>SC: Componente de servicios</w:t>
      </w:r>
    </w:p>
    <w:p w14:paraId="3D009445" w14:textId="77777777" w:rsidR="00C36168" w:rsidRDefault="00C36168" w:rsidP="00C36168">
      <w:pPr>
        <w:autoSpaceDE w:val="0"/>
        <w:autoSpaceDN w:val="0"/>
        <w:adjustRightInd w:val="0"/>
        <w:spacing w:after="120" w:line="240" w:lineRule="auto"/>
        <w:jc w:val="both"/>
        <w:rPr>
          <w:rFonts w:ascii="Tahoma" w:hAnsi="Tahoma" w:cs="Tahoma"/>
          <w:color w:val="000000"/>
          <w:kern w:val="0"/>
        </w:rPr>
      </w:pPr>
      <w:r>
        <w:rPr>
          <w:rFonts w:ascii="Tahoma" w:hAnsi="Tahoma" w:cs="Tahoma"/>
          <w:color w:val="000000"/>
          <w:kern w:val="0"/>
        </w:rPr>
        <w:t>FC: Componente financiero</w:t>
      </w:r>
    </w:p>
    <w:p w14:paraId="5A44FE32" w14:textId="77777777" w:rsidR="00C36168" w:rsidRDefault="00C36168" w:rsidP="00C36168">
      <w:pPr>
        <w:autoSpaceDE w:val="0"/>
        <w:autoSpaceDN w:val="0"/>
        <w:adjustRightInd w:val="0"/>
        <w:spacing w:after="120" w:line="240" w:lineRule="auto"/>
        <w:jc w:val="both"/>
        <w:rPr>
          <w:rFonts w:ascii="Tahoma" w:hAnsi="Tahoma" w:cs="Tahoma"/>
          <w:color w:val="000000"/>
          <w:kern w:val="0"/>
        </w:rPr>
      </w:pPr>
    </w:p>
    <w:p w14:paraId="23D8A9EB" w14:textId="77777777" w:rsidR="00C36168" w:rsidRDefault="00C36168" w:rsidP="00C36168">
      <w:pPr>
        <w:autoSpaceDE w:val="0"/>
        <w:autoSpaceDN w:val="0"/>
        <w:adjustRightInd w:val="0"/>
        <w:spacing w:after="120" w:line="240" w:lineRule="auto"/>
        <w:jc w:val="both"/>
        <w:rPr>
          <w:rFonts w:ascii="Tahoma" w:hAnsi="Tahoma" w:cs="Tahoma"/>
          <w:color w:val="000000"/>
          <w:kern w:val="0"/>
        </w:rPr>
      </w:pPr>
    </w:p>
    <w:tbl>
      <w:tblPr>
        <w:tblW w:w="4550" w:type="dxa"/>
        <w:tblCellMar>
          <w:left w:w="70" w:type="dxa"/>
          <w:right w:w="70" w:type="dxa"/>
        </w:tblCellMar>
        <w:tblLook w:val="04A0" w:firstRow="1" w:lastRow="0" w:firstColumn="1" w:lastColumn="0" w:noHBand="0" w:noVBand="1"/>
      </w:tblPr>
      <w:tblGrid>
        <w:gridCol w:w="3280"/>
        <w:gridCol w:w="1270"/>
      </w:tblGrid>
      <w:tr w:rsidR="00C36168" w:rsidRPr="00023BEC" w14:paraId="1811E9DD" w14:textId="77777777" w:rsidTr="00F65AAC">
        <w:trPr>
          <w:trHeight w:val="285"/>
        </w:trPr>
        <w:tc>
          <w:tcPr>
            <w:tcW w:w="3280" w:type="dxa"/>
            <w:tcBorders>
              <w:top w:val="nil"/>
              <w:left w:val="nil"/>
              <w:bottom w:val="nil"/>
              <w:right w:val="nil"/>
            </w:tcBorders>
            <w:noWrap/>
            <w:vAlign w:val="bottom"/>
            <w:hideMark/>
          </w:tcPr>
          <w:p w14:paraId="49FB6979" w14:textId="77777777" w:rsidR="00C36168" w:rsidRPr="00023BEC" w:rsidRDefault="00C36168" w:rsidP="00F65AAC">
            <w:pPr>
              <w:spacing w:after="0" w:line="240" w:lineRule="auto"/>
              <w:rPr>
                <w:rFonts w:ascii="Times New Roman" w:eastAsia="Times New Roman" w:hAnsi="Times New Roman" w:cs="Times New Roman"/>
                <w:kern w:val="0"/>
                <w:sz w:val="24"/>
                <w:szCs w:val="24"/>
                <w:lang w:eastAsia="es-ES"/>
                <w14:ligatures w14:val="none"/>
              </w:rPr>
            </w:pPr>
          </w:p>
        </w:tc>
        <w:tc>
          <w:tcPr>
            <w:tcW w:w="1270" w:type="dxa"/>
            <w:tcBorders>
              <w:top w:val="nil"/>
              <w:left w:val="nil"/>
              <w:bottom w:val="nil"/>
              <w:right w:val="nil"/>
            </w:tcBorders>
            <w:noWrap/>
            <w:vAlign w:val="bottom"/>
            <w:hideMark/>
          </w:tcPr>
          <w:p w14:paraId="4D0A1D46" w14:textId="77777777" w:rsidR="00C36168" w:rsidRPr="00023BEC" w:rsidRDefault="00C36168" w:rsidP="00F65AAC">
            <w:pPr>
              <w:spacing w:after="0" w:line="240" w:lineRule="auto"/>
              <w:jc w:val="right"/>
              <w:rPr>
                <w:rFonts w:ascii="Tahoma" w:eastAsia="Times New Roman" w:hAnsi="Tahoma" w:cs="Tahoma"/>
                <w:color w:val="000000"/>
                <w:kern w:val="0"/>
                <w:lang w:eastAsia="es-ES"/>
                <w14:ligatures w14:val="none"/>
              </w:rPr>
            </w:pPr>
            <w:r w:rsidRPr="00023BEC">
              <w:rPr>
                <w:rFonts w:ascii="Tahoma" w:eastAsia="Times New Roman" w:hAnsi="Tahoma" w:cs="Tahoma"/>
                <w:color w:val="000000"/>
                <w:kern w:val="0"/>
                <w:lang w:eastAsia="es-ES"/>
                <w14:ligatures w14:val="none"/>
              </w:rPr>
              <w:t>31/12/202</w:t>
            </w:r>
            <w:r>
              <w:rPr>
                <w:rFonts w:ascii="Tahoma" w:eastAsia="Times New Roman" w:hAnsi="Tahoma" w:cs="Tahoma"/>
                <w:color w:val="000000"/>
                <w:kern w:val="0"/>
                <w:lang w:eastAsia="es-ES"/>
                <w14:ligatures w14:val="none"/>
              </w:rPr>
              <w:t>5</w:t>
            </w:r>
          </w:p>
        </w:tc>
      </w:tr>
      <w:tr w:rsidR="00C36168" w:rsidRPr="00023BEC" w14:paraId="00C39EE9" w14:textId="77777777" w:rsidTr="00F65AAC">
        <w:trPr>
          <w:trHeight w:val="300"/>
        </w:trPr>
        <w:tc>
          <w:tcPr>
            <w:tcW w:w="3280" w:type="dxa"/>
            <w:tcBorders>
              <w:top w:val="nil"/>
              <w:left w:val="nil"/>
              <w:bottom w:val="double" w:sz="6" w:space="0" w:color="auto"/>
              <w:right w:val="nil"/>
            </w:tcBorders>
            <w:noWrap/>
            <w:vAlign w:val="bottom"/>
            <w:hideMark/>
          </w:tcPr>
          <w:p w14:paraId="02457830" w14:textId="77777777" w:rsidR="00C36168" w:rsidRPr="00023BEC" w:rsidRDefault="00C36168" w:rsidP="00F65AAC">
            <w:pPr>
              <w:spacing w:after="0" w:line="240" w:lineRule="auto"/>
              <w:rPr>
                <w:rFonts w:ascii="Tahoma" w:eastAsia="Times New Roman" w:hAnsi="Tahoma" w:cs="Tahoma"/>
                <w:color w:val="000000"/>
                <w:kern w:val="0"/>
                <w:lang w:eastAsia="es-ES"/>
                <w14:ligatures w14:val="none"/>
              </w:rPr>
            </w:pPr>
          </w:p>
        </w:tc>
        <w:tc>
          <w:tcPr>
            <w:tcW w:w="1270" w:type="dxa"/>
            <w:tcBorders>
              <w:top w:val="nil"/>
              <w:left w:val="nil"/>
              <w:bottom w:val="double" w:sz="6" w:space="0" w:color="auto"/>
              <w:right w:val="nil"/>
            </w:tcBorders>
            <w:noWrap/>
            <w:vAlign w:val="bottom"/>
            <w:hideMark/>
          </w:tcPr>
          <w:p w14:paraId="3E20860E" w14:textId="77777777" w:rsidR="00C36168" w:rsidRPr="00023BEC" w:rsidRDefault="00C36168" w:rsidP="00F65AAC">
            <w:pPr>
              <w:spacing w:after="0" w:line="240" w:lineRule="auto"/>
              <w:rPr>
                <w:rFonts w:ascii="Tahoma" w:eastAsia="Times New Roman" w:hAnsi="Tahoma" w:cs="Tahoma"/>
                <w:color w:val="000000"/>
                <w:kern w:val="0"/>
                <w:lang w:eastAsia="es-ES"/>
                <w14:ligatures w14:val="none"/>
              </w:rPr>
            </w:pPr>
            <w:r w:rsidRPr="00023BEC">
              <w:rPr>
                <w:rFonts w:ascii="Tahoma" w:eastAsia="Times New Roman" w:hAnsi="Tahoma" w:cs="Tahoma"/>
                <w:color w:val="000000"/>
                <w:kern w:val="0"/>
                <w:lang w:eastAsia="es-ES"/>
                <w14:ligatures w14:val="none"/>
              </w:rPr>
              <w:t>Miles de €</w:t>
            </w:r>
          </w:p>
        </w:tc>
      </w:tr>
      <w:tr w:rsidR="00C36168" w:rsidRPr="00023BEC" w14:paraId="54741ACD" w14:textId="77777777" w:rsidTr="00F65AAC">
        <w:trPr>
          <w:trHeight w:val="300"/>
        </w:trPr>
        <w:tc>
          <w:tcPr>
            <w:tcW w:w="3280" w:type="dxa"/>
            <w:tcBorders>
              <w:top w:val="nil"/>
              <w:left w:val="nil"/>
              <w:bottom w:val="nil"/>
              <w:right w:val="nil"/>
            </w:tcBorders>
            <w:noWrap/>
            <w:vAlign w:val="bottom"/>
            <w:hideMark/>
          </w:tcPr>
          <w:p w14:paraId="6BB3F043" w14:textId="77777777" w:rsidR="00C36168" w:rsidRPr="00023BEC" w:rsidRDefault="00C36168" w:rsidP="00F65AAC">
            <w:pPr>
              <w:spacing w:after="0" w:line="240" w:lineRule="auto"/>
              <w:rPr>
                <w:rFonts w:ascii="Tahoma" w:eastAsia="Times New Roman" w:hAnsi="Tahoma" w:cs="Tahoma"/>
                <w:color w:val="000000"/>
                <w:kern w:val="0"/>
                <w:lang w:eastAsia="es-ES"/>
                <w14:ligatures w14:val="none"/>
              </w:rPr>
            </w:pPr>
            <w:r>
              <w:rPr>
                <w:rFonts w:ascii="Tahoma" w:eastAsia="Times New Roman" w:hAnsi="Tahoma" w:cs="Tahoma"/>
                <w:color w:val="000000"/>
                <w:kern w:val="0"/>
                <w:lang w:eastAsia="es-ES"/>
                <w14:ligatures w14:val="none"/>
              </w:rPr>
              <w:t>ILDC</w:t>
            </w:r>
          </w:p>
        </w:tc>
        <w:tc>
          <w:tcPr>
            <w:tcW w:w="1270" w:type="dxa"/>
            <w:tcBorders>
              <w:top w:val="nil"/>
              <w:left w:val="nil"/>
              <w:bottom w:val="nil"/>
              <w:right w:val="nil"/>
            </w:tcBorders>
            <w:noWrap/>
            <w:vAlign w:val="bottom"/>
            <w:hideMark/>
          </w:tcPr>
          <w:p w14:paraId="71152D34" w14:textId="77777777" w:rsidR="00C36168" w:rsidRPr="00023BEC" w:rsidRDefault="00C36168" w:rsidP="00F65AAC">
            <w:pPr>
              <w:spacing w:after="0" w:line="240" w:lineRule="auto"/>
              <w:jc w:val="right"/>
              <w:rPr>
                <w:rFonts w:ascii="Tahoma" w:eastAsia="Times New Roman" w:hAnsi="Tahoma" w:cs="Tahoma"/>
                <w:color w:val="000000"/>
                <w:kern w:val="0"/>
                <w:lang w:eastAsia="es-ES"/>
                <w14:ligatures w14:val="none"/>
              </w:rPr>
            </w:pPr>
            <w:r>
              <w:rPr>
                <w:rFonts w:ascii="Tahoma" w:eastAsia="Times New Roman" w:hAnsi="Tahoma" w:cs="Tahoma"/>
                <w:color w:val="000000"/>
                <w:kern w:val="0"/>
                <w:lang w:eastAsia="es-ES"/>
                <w14:ligatures w14:val="none"/>
              </w:rPr>
              <w:t>176</w:t>
            </w:r>
          </w:p>
        </w:tc>
      </w:tr>
      <w:tr w:rsidR="00C36168" w:rsidRPr="00023BEC" w14:paraId="6DBC40D0" w14:textId="77777777" w:rsidTr="00F65AAC">
        <w:trPr>
          <w:trHeight w:val="285"/>
        </w:trPr>
        <w:tc>
          <w:tcPr>
            <w:tcW w:w="3280" w:type="dxa"/>
            <w:tcBorders>
              <w:top w:val="nil"/>
              <w:left w:val="nil"/>
              <w:bottom w:val="nil"/>
              <w:right w:val="nil"/>
            </w:tcBorders>
            <w:noWrap/>
            <w:vAlign w:val="bottom"/>
            <w:hideMark/>
          </w:tcPr>
          <w:p w14:paraId="05350E81" w14:textId="77777777" w:rsidR="00C36168" w:rsidRPr="00023BEC" w:rsidRDefault="00C36168" w:rsidP="00F65AAC">
            <w:pPr>
              <w:spacing w:after="0" w:line="240" w:lineRule="auto"/>
              <w:rPr>
                <w:rFonts w:ascii="Tahoma" w:eastAsia="Times New Roman" w:hAnsi="Tahoma" w:cs="Tahoma"/>
                <w:color w:val="000000"/>
                <w:kern w:val="0"/>
                <w:lang w:eastAsia="es-ES"/>
                <w14:ligatures w14:val="none"/>
              </w:rPr>
            </w:pPr>
            <w:r>
              <w:rPr>
                <w:rFonts w:ascii="Tahoma" w:eastAsia="Times New Roman" w:hAnsi="Tahoma" w:cs="Tahoma"/>
                <w:color w:val="000000"/>
                <w:kern w:val="0"/>
                <w:lang w:eastAsia="es-ES"/>
                <w14:ligatures w14:val="none"/>
              </w:rPr>
              <w:t>SC</w:t>
            </w:r>
          </w:p>
        </w:tc>
        <w:tc>
          <w:tcPr>
            <w:tcW w:w="1270" w:type="dxa"/>
            <w:tcBorders>
              <w:top w:val="nil"/>
              <w:left w:val="nil"/>
              <w:bottom w:val="nil"/>
              <w:right w:val="nil"/>
            </w:tcBorders>
            <w:noWrap/>
            <w:vAlign w:val="bottom"/>
            <w:hideMark/>
          </w:tcPr>
          <w:p w14:paraId="5F7A3125" w14:textId="77777777" w:rsidR="00C36168" w:rsidRPr="00023BEC" w:rsidRDefault="00C36168" w:rsidP="00F65AAC">
            <w:pPr>
              <w:spacing w:after="0" w:line="240" w:lineRule="auto"/>
              <w:jc w:val="right"/>
              <w:rPr>
                <w:rFonts w:ascii="Tahoma" w:eastAsia="Times New Roman" w:hAnsi="Tahoma" w:cs="Tahoma"/>
                <w:color w:val="000000"/>
                <w:kern w:val="0"/>
                <w:lang w:eastAsia="es-ES"/>
                <w14:ligatures w14:val="none"/>
              </w:rPr>
            </w:pPr>
            <w:r w:rsidRPr="00023BEC">
              <w:rPr>
                <w:rFonts w:ascii="Tahoma" w:eastAsia="Times New Roman" w:hAnsi="Tahoma" w:cs="Tahoma"/>
                <w:color w:val="000000"/>
                <w:kern w:val="0"/>
                <w:lang w:eastAsia="es-ES"/>
                <w14:ligatures w14:val="none"/>
              </w:rPr>
              <w:t>5</w:t>
            </w:r>
          </w:p>
        </w:tc>
      </w:tr>
      <w:tr w:rsidR="00C36168" w:rsidRPr="00023BEC" w14:paraId="534F3E58" w14:textId="77777777" w:rsidTr="00F65AAC">
        <w:trPr>
          <w:trHeight w:val="285"/>
        </w:trPr>
        <w:tc>
          <w:tcPr>
            <w:tcW w:w="3280" w:type="dxa"/>
            <w:tcBorders>
              <w:top w:val="nil"/>
              <w:left w:val="nil"/>
              <w:bottom w:val="nil"/>
              <w:right w:val="nil"/>
            </w:tcBorders>
            <w:noWrap/>
            <w:vAlign w:val="bottom"/>
            <w:hideMark/>
          </w:tcPr>
          <w:p w14:paraId="6A0F6CBD" w14:textId="77777777" w:rsidR="00C36168" w:rsidRPr="00023BEC" w:rsidRDefault="00C36168" w:rsidP="00F65AAC">
            <w:pPr>
              <w:spacing w:after="0" w:line="240" w:lineRule="auto"/>
              <w:rPr>
                <w:rFonts w:ascii="Tahoma" w:eastAsia="Times New Roman" w:hAnsi="Tahoma" w:cs="Tahoma"/>
                <w:color w:val="000000"/>
                <w:kern w:val="0"/>
                <w:lang w:eastAsia="es-ES"/>
                <w14:ligatures w14:val="none"/>
              </w:rPr>
            </w:pPr>
            <w:r>
              <w:rPr>
                <w:rFonts w:ascii="Tahoma" w:eastAsia="Times New Roman" w:hAnsi="Tahoma" w:cs="Tahoma"/>
                <w:color w:val="000000"/>
                <w:kern w:val="0"/>
                <w:lang w:eastAsia="es-ES"/>
                <w14:ligatures w14:val="none"/>
              </w:rPr>
              <w:t>FC</w:t>
            </w:r>
          </w:p>
        </w:tc>
        <w:tc>
          <w:tcPr>
            <w:tcW w:w="1270" w:type="dxa"/>
            <w:tcBorders>
              <w:top w:val="nil"/>
              <w:left w:val="nil"/>
              <w:bottom w:val="nil"/>
              <w:right w:val="nil"/>
            </w:tcBorders>
            <w:noWrap/>
            <w:vAlign w:val="bottom"/>
            <w:hideMark/>
          </w:tcPr>
          <w:p w14:paraId="6CCB6E31" w14:textId="77777777" w:rsidR="00C36168" w:rsidRPr="00023BEC" w:rsidRDefault="00C36168" w:rsidP="00F65AAC">
            <w:pPr>
              <w:spacing w:after="0" w:line="240" w:lineRule="auto"/>
              <w:jc w:val="right"/>
              <w:rPr>
                <w:rFonts w:ascii="Tahoma" w:eastAsia="Times New Roman" w:hAnsi="Tahoma" w:cs="Tahoma"/>
                <w:color w:val="000000"/>
                <w:kern w:val="0"/>
                <w:lang w:eastAsia="es-ES"/>
                <w14:ligatures w14:val="none"/>
              </w:rPr>
            </w:pPr>
            <w:r>
              <w:rPr>
                <w:rFonts w:ascii="Tahoma" w:eastAsia="Times New Roman" w:hAnsi="Tahoma" w:cs="Tahoma"/>
                <w:color w:val="000000"/>
                <w:kern w:val="0"/>
                <w:lang w:eastAsia="es-ES"/>
                <w14:ligatures w14:val="none"/>
              </w:rPr>
              <w:t>0</w:t>
            </w:r>
          </w:p>
        </w:tc>
      </w:tr>
      <w:tr w:rsidR="00C36168" w:rsidRPr="00023BEC" w14:paraId="6DBCE305" w14:textId="77777777" w:rsidTr="00F65AAC">
        <w:trPr>
          <w:trHeight w:val="300"/>
        </w:trPr>
        <w:tc>
          <w:tcPr>
            <w:tcW w:w="3280" w:type="dxa"/>
            <w:tcBorders>
              <w:top w:val="single" w:sz="4" w:space="0" w:color="auto"/>
              <w:left w:val="nil"/>
              <w:bottom w:val="double" w:sz="6" w:space="0" w:color="auto"/>
              <w:right w:val="nil"/>
            </w:tcBorders>
            <w:noWrap/>
            <w:vAlign w:val="bottom"/>
            <w:hideMark/>
          </w:tcPr>
          <w:p w14:paraId="22178937" w14:textId="77777777" w:rsidR="00C36168" w:rsidRPr="00023BEC" w:rsidRDefault="00C36168" w:rsidP="00F65AAC">
            <w:pPr>
              <w:spacing w:after="0" w:line="240" w:lineRule="auto"/>
              <w:rPr>
                <w:rFonts w:ascii="Tahoma" w:eastAsia="Times New Roman" w:hAnsi="Tahoma" w:cs="Tahoma"/>
                <w:color w:val="000000"/>
                <w:kern w:val="0"/>
                <w:lang w:eastAsia="es-ES"/>
                <w14:ligatures w14:val="none"/>
              </w:rPr>
            </w:pPr>
            <w:r w:rsidRPr="00023BEC">
              <w:rPr>
                <w:rFonts w:ascii="Tahoma" w:eastAsia="Times New Roman" w:hAnsi="Tahoma" w:cs="Tahoma"/>
                <w:color w:val="000000"/>
                <w:kern w:val="0"/>
                <w:lang w:eastAsia="es-ES"/>
                <w14:ligatures w14:val="none"/>
              </w:rPr>
              <w:t>Total</w:t>
            </w:r>
          </w:p>
        </w:tc>
        <w:tc>
          <w:tcPr>
            <w:tcW w:w="1270" w:type="dxa"/>
            <w:tcBorders>
              <w:top w:val="single" w:sz="4" w:space="0" w:color="auto"/>
              <w:left w:val="nil"/>
              <w:bottom w:val="double" w:sz="6" w:space="0" w:color="auto"/>
              <w:right w:val="nil"/>
            </w:tcBorders>
            <w:noWrap/>
            <w:vAlign w:val="bottom"/>
            <w:hideMark/>
          </w:tcPr>
          <w:p w14:paraId="7BF7D540" w14:textId="77777777" w:rsidR="00C36168" w:rsidRPr="00023BEC" w:rsidRDefault="00C36168" w:rsidP="00F65AAC">
            <w:pPr>
              <w:spacing w:after="0" w:line="240" w:lineRule="auto"/>
              <w:jc w:val="right"/>
              <w:rPr>
                <w:rFonts w:ascii="Tahoma" w:eastAsia="Times New Roman" w:hAnsi="Tahoma" w:cs="Tahoma"/>
                <w:color w:val="000000"/>
                <w:kern w:val="0"/>
                <w:lang w:eastAsia="es-ES"/>
                <w14:ligatures w14:val="none"/>
              </w:rPr>
            </w:pPr>
            <w:r>
              <w:rPr>
                <w:rFonts w:ascii="Tahoma" w:eastAsia="Times New Roman" w:hAnsi="Tahoma" w:cs="Tahoma"/>
                <w:color w:val="000000"/>
                <w:kern w:val="0"/>
                <w:lang w:eastAsia="es-ES"/>
                <w14:ligatures w14:val="none"/>
              </w:rPr>
              <w:t>181</w:t>
            </w:r>
          </w:p>
        </w:tc>
      </w:tr>
    </w:tbl>
    <w:p w14:paraId="025E30E1" w14:textId="77777777" w:rsidR="00C36168" w:rsidRPr="00FF7433" w:rsidRDefault="00C36168" w:rsidP="00C36168">
      <w:pPr>
        <w:autoSpaceDE w:val="0"/>
        <w:autoSpaceDN w:val="0"/>
        <w:adjustRightInd w:val="0"/>
        <w:spacing w:after="120" w:line="240" w:lineRule="auto"/>
        <w:jc w:val="both"/>
        <w:rPr>
          <w:rFonts w:ascii="Tahoma" w:hAnsi="Tahoma" w:cs="Tahoma"/>
          <w:color w:val="000000"/>
          <w:kern w:val="0"/>
        </w:rPr>
      </w:pPr>
    </w:p>
    <w:p w14:paraId="7285D72A" w14:textId="77777777" w:rsidR="00C36168" w:rsidRPr="00FF7433" w:rsidRDefault="00C36168" w:rsidP="00C36168">
      <w:pPr>
        <w:autoSpaceDE w:val="0"/>
        <w:autoSpaceDN w:val="0"/>
        <w:adjustRightInd w:val="0"/>
        <w:spacing w:after="120" w:line="240" w:lineRule="auto"/>
        <w:jc w:val="both"/>
        <w:rPr>
          <w:rFonts w:ascii="Tahoma" w:hAnsi="Tahoma" w:cs="Tahoma"/>
          <w:color w:val="000000"/>
          <w:kern w:val="0"/>
        </w:rPr>
      </w:pPr>
      <w:r w:rsidRPr="00FF7433">
        <w:rPr>
          <w:rFonts w:ascii="Tahoma" w:hAnsi="Tahoma" w:cs="Tahoma"/>
          <w:color w:val="000000"/>
          <w:kern w:val="0"/>
        </w:rPr>
        <w:t>En base a estos resultados calculamos las necesidades de capital por riesgo</w:t>
      </w:r>
      <w:r>
        <w:rPr>
          <w:rFonts w:ascii="Tahoma" w:hAnsi="Tahoma" w:cs="Tahoma"/>
          <w:color w:val="000000"/>
          <w:kern w:val="0"/>
        </w:rPr>
        <w:t xml:space="preserve"> </w:t>
      </w:r>
      <w:r w:rsidRPr="00FF7433">
        <w:rPr>
          <w:rFonts w:ascii="Tahoma" w:hAnsi="Tahoma" w:cs="Tahoma"/>
          <w:color w:val="000000"/>
          <w:kern w:val="0"/>
        </w:rPr>
        <w:t xml:space="preserve">operacional </w:t>
      </w:r>
      <w:r>
        <w:rPr>
          <w:rFonts w:ascii="Tahoma" w:hAnsi="Tahoma" w:cs="Tahoma"/>
          <w:color w:val="000000"/>
          <w:kern w:val="0"/>
        </w:rPr>
        <w:t>mediante la suma de los tres componentes previamente enumerados y aplicando al resultado la siguiente fórmula:</w:t>
      </w:r>
    </w:p>
    <w:p w14:paraId="139C65A4" w14:textId="77777777" w:rsidR="00C36168" w:rsidRPr="00FF7433" w:rsidRDefault="00C36168" w:rsidP="00C36168">
      <w:pPr>
        <w:autoSpaceDE w:val="0"/>
        <w:autoSpaceDN w:val="0"/>
        <w:adjustRightInd w:val="0"/>
        <w:spacing w:after="120" w:line="240" w:lineRule="auto"/>
        <w:jc w:val="both"/>
        <w:rPr>
          <w:rFonts w:ascii="Tahoma" w:hAnsi="Tahoma" w:cs="Tahoma"/>
          <w:color w:val="000000"/>
          <w:kern w:val="0"/>
        </w:rPr>
      </w:pPr>
      <w:r>
        <w:rPr>
          <w:rFonts w:ascii="Tahoma" w:hAnsi="Tahoma" w:cs="Tahoma"/>
          <w:color w:val="000000"/>
          <w:kern w:val="0"/>
        </w:rPr>
        <w:t>[BIx</w:t>
      </w:r>
      <w:r w:rsidRPr="00FF7433">
        <w:rPr>
          <w:rFonts w:ascii="Tahoma" w:hAnsi="Tahoma" w:cs="Tahoma"/>
          <w:color w:val="000000"/>
          <w:kern w:val="0"/>
        </w:rPr>
        <w:t>0,1</w:t>
      </w:r>
      <w:r>
        <w:rPr>
          <w:rFonts w:ascii="Tahoma" w:hAnsi="Tahoma" w:cs="Tahoma"/>
          <w:color w:val="000000"/>
          <w:kern w:val="0"/>
        </w:rPr>
        <w:t>2</w:t>
      </w:r>
      <w:r w:rsidRPr="00FF7433">
        <w:rPr>
          <w:rFonts w:ascii="Tahoma" w:hAnsi="Tahoma" w:cs="Tahoma"/>
          <w:color w:val="000000"/>
          <w:kern w:val="0"/>
        </w:rPr>
        <w:t>]</w:t>
      </w:r>
    </w:p>
    <w:p w14:paraId="71F40709" w14:textId="77777777" w:rsidR="00C36168" w:rsidRPr="00FF7433" w:rsidRDefault="00C36168" w:rsidP="00C36168">
      <w:pPr>
        <w:autoSpaceDE w:val="0"/>
        <w:autoSpaceDN w:val="0"/>
        <w:adjustRightInd w:val="0"/>
        <w:spacing w:after="120" w:line="240" w:lineRule="auto"/>
        <w:jc w:val="both"/>
        <w:rPr>
          <w:rFonts w:ascii="Tahoma" w:hAnsi="Tahoma" w:cs="Tahoma"/>
          <w:color w:val="000000"/>
          <w:kern w:val="0"/>
        </w:rPr>
      </w:pPr>
      <w:r w:rsidRPr="00FF7433">
        <w:rPr>
          <w:rFonts w:ascii="Tahoma" w:hAnsi="Tahoma" w:cs="Tahoma"/>
          <w:color w:val="000000"/>
          <w:kern w:val="0"/>
        </w:rPr>
        <w:t xml:space="preserve">Obteniendo como resultado la cifra de </w:t>
      </w:r>
      <w:r>
        <w:rPr>
          <w:rFonts w:ascii="Tahoma" w:hAnsi="Tahoma" w:cs="Tahoma"/>
          <w:color w:val="000000"/>
          <w:kern w:val="0"/>
        </w:rPr>
        <w:t>22</w:t>
      </w:r>
      <w:r w:rsidRPr="00FF7433">
        <w:rPr>
          <w:rFonts w:ascii="Tahoma" w:hAnsi="Tahoma" w:cs="Tahoma"/>
          <w:color w:val="000000"/>
          <w:kern w:val="0"/>
        </w:rPr>
        <w:t xml:space="preserve"> miles de euros, capital asignado al</w:t>
      </w:r>
      <w:r>
        <w:rPr>
          <w:rFonts w:ascii="Tahoma" w:hAnsi="Tahoma" w:cs="Tahoma"/>
          <w:color w:val="000000"/>
          <w:kern w:val="0"/>
        </w:rPr>
        <w:t xml:space="preserve"> </w:t>
      </w:r>
      <w:r w:rsidRPr="00FF7433">
        <w:rPr>
          <w:rFonts w:ascii="Tahoma" w:hAnsi="Tahoma" w:cs="Tahoma"/>
          <w:color w:val="000000"/>
          <w:kern w:val="0"/>
        </w:rPr>
        <w:t>riesgo operacional.</w:t>
      </w:r>
    </w:p>
    <w:p w14:paraId="39BEE8E5" w14:textId="77777777" w:rsidR="00C36168" w:rsidRDefault="00C36168" w:rsidP="00C36168">
      <w:pPr>
        <w:pStyle w:val="Default"/>
        <w:spacing w:after="120"/>
        <w:jc w:val="both"/>
        <w:rPr>
          <w:b/>
          <w:bCs/>
          <w:color w:val="939F27" w:themeColor="accent3" w:themeShade="BF"/>
          <w:sz w:val="22"/>
          <w:szCs w:val="22"/>
        </w:rPr>
      </w:pPr>
      <w:r>
        <w:rPr>
          <w:b/>
          <w:bCs/>
          <w:color w:val="939F27" w:themeColor="accent3" w:themeShade="BF"/>
          <w:sz w:val="22"/>
          <w:szCs w:val="22"/>
        </w:rPr>
        <w:t>4</w:t>
      </w:r>
      <w:r w:rsidRPr="00023BEC">
        <w:rPr>
          <w:b/>
          <w:bCs/>
          <w:color w:val="939F27" w:themeColor="accent3" w:themeShade="BF"/>
          <w:sz w:val="22"/>
          <w:szCs w:val="22"/>
        </w:rPr>
        <w:t xml:space="preserve">. </w:t>
      </w:r>
      <w:r>
        <w:rPr>
          <w:b/>
          <w:bCs/>
          <w:color w:val="939F27" w:themeColor="accent3" w:themeShade="BF"/>
          <w:sz w:val="22"/>
          <w:szCs w:val="22"/>
        </w:rPr>
        <w:t>Información sobre riesgo de crédito</w:t>
      </w:r>
    </w:p>
    <w:p w14:paraId="6BF96025" w14:textId="77777777" w:rsidR="00C36168" w:rsidRPr="00AC7231" w:rsidRDefault="00C36168" w:rsidP="00C36168">
      <w:pPr>
        <w:autoSpaceDE w:val="0"/>
        <w:autoSpaceDN w:val="0"/>
        <w:adjustRightInd w:val="0"/>
        <w:spacing w:after="120" w:line="240" w:lineRule="auto"/>
        <w:jc w:val="both"/>
        <w:rPr>
          <w:rFonts w:ascii="Tahoma" w:hAnsi="Tahoma" w:cs="Tahoma"/>
          <w:b/>
          <w:bCs/>
          <w:color w:val="626A1A" w:themeColor="accent3" w:themeShade="80"/>
          <w:kern w:val="0"/>
        </w:rPr>
      </w:pPr>
      <w:r w:rsidRPr="00AC7231">
        <w:rPr>
          <w:rFonts w:ascii="Tahoma" w:hAnsi="Tahoma" w:cs="Tahoma"/>
          <w:b/>
          <w:bCs/>
          <w:color w:val="626A1A" w:themeColor="accent3" w:themeShade="80"/>
          <w:kern w:val="0"/>
        </w:rPr>
        <w:t>4.1. Riesgo de crédito</w:t>
      </w:r>
    </w:p>
    <w:p w14:paraId="58EA6C2B" w14:textId="77777777" w:rsidR="00C36168" w:rsidRPr="00FF7433" w:rsidRDefault="00C36168" w:rsidP="00C36168">
      <w:pPr>
        <w:autoSpaceDE w:val="0"/>
        <w:autoSpaceDN w:val="0"/>
        <w:adjustRightInd w:val="0"/>
        <w:spacing w:after="120" w:line="240" w:lineRule="auto"/>
        <w:jc w:val="both"/>
        <w:rPr>
          <w:rFonts w:ascii="Tahoma" w:hAnsi="Tahoma" w:cs="Tahoma"/>
          <w:color w:val="000000"/>
          <w:kern w:val="0"/>
        </w:rPr>
      </w:pPr>
      <w:r w:rsidRPr="00FF7433">
        <w:rPr>
          <w:rFonts w:ascii="Tahoma" w:hAnsi="Tahoma" w:cs="Tahoma"/>
          <w:color w:val="000000"/>
          <w:kern w:val="0"/>
        </w:rPr>
        <w:t>El riesgo de crédito se representa por las pérdidas en que incurriría la Sociedad en</w:t>
      </w:r>
      <w:r>
        <w:rPr>
          <w:rFonts w:ascii="Tahoma" w:hAnsi="Tahoma" w:cs="Tahoma"/>
          <w:color w:val="000000"/>
          <w:kern w:val="0"/>
        </w:rPr>
        <w:t xml:space="preserve"> </w:t>
      </w:r>
      <w:r w:rsidRPr="00FF7433">
        <w:rPr>
          <w:rFonts w:ascii="Tahoma" w:hAnsi="Tahoma" w:cs="Tahoma"/>
          <w:color w:val="000000"/>
          <w:kern w:val="0"/>
        </w:rPr>
        <w:t>el supuesto de que un cliente o alguna contraparte incumpliese sus obligaciones</w:t>
      </w:r>
      <w:r>
        <w:rPr>
          <w:rFonts w:ascii="Tahoma" w:hAnsi="Tahoma" w:cs="Tahoma"/>
          <w:color w:val="000000"/>
          <w:kern w:val="0"/>
        </w:rPr>
        <w:t xml:space="preserve"> </w:t>
      </w:r>
      <w:r w:rsidRPr="00FF7433">
        <w:rPr>
          <w:rFonts w:ascii="Tahoma" w:hAnsi="Tahoma" w:cs="Tahoma"/>
          <w:color w:val="000000"/>
          <w:kern w:val="0"/>
        </w:rPr>
        <w:t>contractuales de pago. Este riesgo es inherente a los productos financieros de la</w:t>
      </w:r>
      <w:r>
        <w:rPr>
          <w:rFonts w:ascii="Tahoma" w:hAnsi="Tahoma" w:cs="Tahoma"/>
          <w:color w:val="000000"/>
          <w:kern w:val="0"/>
        </w:rPr>
        <w:t xml:space="preserve"> </w:t>
      </w:r>
      <w:r w:rsidRPr="00FF7433">
        <w:rPr>
          <w:rFonts w:ascii="Tahoma" w:hAnsi="Tahoma" w:cs="Tahoma"/>
          <w:color w:val="000000"/>
          <w:kern w:val="0"/>
        </w:rPr>
        <w:t>Sociedad, esto es, los créditos comercializados.</w:t>
      </w:r>
    </w:p>
    <w:p w14:paraId="344489DC" w14:textId="77777777" w:rsidR="00C36168" w:rsidRPr="00FF7433" w:rsidRDefault="00C36168" w:rsidP="00C36168">
      <w:pPr>
        <w:autoSpaceDE w:val="0"/>
        <w:autoSpaceDN w:val="0"/>
        <w:adjustRightInd w:val="0"/>
        <w:spacing w:after="120" w:line="240" w:lineRule="auto"/>
        <w:jc w:val="both"/>
        <w:rPr>
          <w:rFonts w:ascii="Tahoma" w:hAnsi="Tahoma" w:cs="Tahoma"/>
          <w:color w:val="000000"/>
          <w:kern w:val="0"/>
        </w:rPr>
      </w:pPr>
      <w:r w:rsidRPr="00C36168">
        <w:rPr>
          <w:rFonts w:ascii="Tahoma" w:hAnsi="Tahoma" w:cs="Tahoma"/>
          <w:color w:val="000000"/>
          <w:kern w:val="0"/>
        </w:rPr>
        <w:t>La definición de las políticas de riesgo y de los criterios en los que se basa su gestión y control han sido establecidos por el Consejo de Administración. Su implementación y desarrollo se realiza en la Unidad Operativa, que depende directamente del director general.</w:t>
      </w:r>
    </w:p>
    <w:p w14:paraId="44698767" w14:textId="77777777" w:rsidR="00C36168" w:rsidRPr="00AC7231" w:rsidRDefault="00C36168" w:rsidP="00C36168">
      <w:pPr>
        <w:autoSpaceDE w:val="0"/>
        <w:autoSpaceDN w:val="0"/>
        <w:adjustRightInd w:val="0"/>
        <w:spacing w:after="120" w:line="240" w:lineRule="auto"/>
        <w:jc w:val="both"/>
        <w:rPr>
          <w:rFonts w:ascii="Tahoma" w:hAnsi="Tahoma" w:cs="Tahoma"/>
          <w:b/>
          <w:bCs/>
          <w:color w:val="626A1A" w:themeColor="accent3" w:themeShade="80"/>
          <w:kern w:val="0"/>
        </w:rPr>
      </w:pPr>
      <w:r w:rsidRPr="00AC7231">
        <w:rPr>
          <w:rFonts w:ascii="Tahoma" w:hAnsi="Tahoma" w:cs="Tahoma"/>
          <w:b/>
          <w:bCs/>
          <w:color w:val="626A1A" w:themeColor="accent3" w:themeShade="80"/>
          <w:kern w:val="0"/>
        </w:rPr>
        <w:t>4.2. Valor total de exposiciones después de ajustes y de</w:t>
      </w:r>
      <w:r>
        <w:rPr>
          <w:rFonts w:ascii="Tahoma" w:hAnsi="Tahoma" w:cs="Tahoma"/>
          <w:b/>
          <w:bCs/>
          <w:color w:val="626A1A" w:themeColor="accent3" w:themeShade="80"/>
          <w:kern w:val="0"/>
        </w:rPr>
        <w:t xml:space="preserve"> </w:t>
      </w:r>
      <w:r w:rsidRPr="00AC7231">
        <w:rPr>
          <w:rFonts w:ascii="Tahoma" w:hAnsi="Tahoma" w:cs="Tahoma"/>
          <w:b/>
          <w:bCs/>
          <w:color w:val="626A1A" w:themeColor="accent3" w:themeShade="80"/>
          <w:kern w:val="0"/>
        </w:rPr>
        <w:t>correcciones de valor.</w:t>
      </w:r>
    </w:p>
    <w:p w14:paraId="1F7C4307" w14:textId="77777777" w:rsidR="00C36168" w:rsidRDefault="00C36168" w:rsidP="00C36168">
      <w:pPr>
        <w:autoSpaceDE w:val="0"/>
        <w:autoSpaceDN w:val="0"/>
        <w:adjustRightInd w:val="0"/>
        <w:spacing w:after="0" w:line="240" w:lineRule="auto"/>
        <w:jc w:val="both"/>
        <w:rPr>
          <w:rFonts w:ascii="Tahoma" w:hAnsi="Tahoma" w:cs="Tahoma"/>
          <w:color w:val="000000"/>
          <w:kern w:val="0"/>
        </w:rPr>
      </w:pPr>
      <w:r w:rsidRPr="00FF7433">
        <w:rPr>
          <w:rFonts w:ascii="Tahoma" w:hAnsi="Tahoma" w:cs="Tahoma"/>
          <w:color w:val="000000"/>
          <w:kern w:val="0"/>
        </w:rPr>
        <w:t>El valor de las exposiciones de la compañía queda de la siguiente forma:</w:t>
      </w:r>
    </w:p>
    <w:p w14:paraId="7D241764" w14:textId="77777777" w:rsidR="00C36168" w:rsidRDefault="00C36168" w:rsidP="00C36168">
      <w:pPr>
        <w:autoSpaceDE w:val="0"/>
        <w:autoSpaceDN w:val="0"/>
        <w:adjustRightInd w:val="0"/>
        <w:spacing w:after="0" w:line="240" w:lineRule="auto"/>
        <w:jc w:val="both"/>
        <w:rPr>
          <w:rFonts w:ascii="Tahoma" w:hAnsi="Tahoma" w:cs="Tahoma"/>
          <w:color w:val="000000"/>
          <w:kern w:val="0"/>
        </w:rPr>
      </w:pPr>
    </w:p>
    <w:tbl>
      <w:tblPr>
        <w:tblW w:w="7000" w:type="dxa"/>
        <w:tblCellMar>
          <w:left w:w="70" w:type="dxa"/>
          <w:right w:w="70" w:type="dxa"/>
        </w:tblCellMar>
        <w:tblLook w:val="04A0" w:firstRow="1" w:lastRow="0" w:firstColumn="1" w:lastColumn="0" w:noHBand="0" w:noVBand="1"/>
      </w:tblPr>
      <w:tblGrid>
        <w:gridCol w:w="1370"/>
        <w:gridCol w:w="1156"/>
        <w:gridCol w:w="1162"/>
        <w:gridCol w:w="1156"/>
        <w:gridCol w:w="1210"/>
        <w:gridCol w:w="1156"/>
      </w:tblGrid>
      <w:tr w:rsidR="00C36168" w:rsidRPr="00212DA1" w14:paraId="56D616B5" w14:textId="77777777" w:rsidTr="00F65AAC">
        <w:trPr>
          <w:trHeight w:val="690"/>
        </w:trPr>
        <w:tc>
          <w:tcPr>
            <w:tcW w:w="1320" w:type="dxa"/>
            <w:tcBorders>
              <w:top w:val="nil"/>
              <w:left w:val="nil"/>
              <w:bottom w:val="double" w:sz="6" w:space="0" w:color="auto"/>
              <w:right w:val="nil"/>
            </w:tcBorders>
            <w:noWrap/>
            <w:vAlign w:val="bottom"/>
            <w:hideMark/>
          </w:tcPr>
          <w:p w14:paraId="6CA24BD7" w14:textId="77777777" w:rsidR="00C36168" w:rsidRPr="00212DA1" w:rsidRDefault="00C36168" w:rsidP="00F65AAC">
            <w:pPr>
              <w:spacing w:after="0" w:line="240" w:lineRule="auto"/>
              <w:rPr>
                <w:rFonts w:ascii="Tahoma" w:eastAsia="Times New Roman" w:hAnsi="Tahoma" w:cs="Tahoma"/>
                <w:color w:val="000000"/>
                <w:kern w:val="0"/>
                <w:lang w:eastAsia="es-ES"/>
                <w14:ligatures w14:val="none"/>
              </w:rPr>
            </w:pPr>
            <w:r w:rsidRPr="00212DA1">
              <w:rPr>
                <w:rFonts w:ascii="Tahoma" w:eastAsia="Times New Roman" w:hAnsi="Tahoma" w:cs="Tahoma"/>
                <w:color w:val="000000"/>
                <w:kern w:val="0"/>
                <w:lang w:eastAsia="es-ES"/>
                <w14:ligatures w14:val="none"/>
              </w:rPr>
              <w:t>Exposiciones</w:t>
            </w:r>
          </w:p>
        </w:tc>
        <w:tc>
          <w:tcPr>
            <w:tcW w:w="1120" w:type="dxa"/>
            <w:tcBorders>
              <w:top w:val="nil"/>
              <w:left w:val="nil"/>
              <w:bottom w:val="double" w:sz="6" w:space="0" w:color="auto"/>
              <w:right w:val="nil"/>
            </w:tcBorders>
            <w:vAlign w:val="center"/>
            <w:hideMark/>
          </w:tcPr>
          <w:p w14:paraId="29446254" w14:textId="77777777" w:rsidR="00C36168" w:rsidRPr="00212DA1" w:rsidRDefault="00C36168" w:rsidP="00F65AAC">
            <w:pPr>
              <w:spacing w:after="0" w:line="240" w:lineRule="auto"/>
              <w:jc w:val="center"/>
              <w:rPr>
                <w:rFonts w:ascii="Tahoma" w:eastAsia="Times New Roman" w:hAnsi="Tahoma" w:cs="Tahoma"/>
                <w:color w:val="000000"/>
                <w:kern w:val="0"/>
                <w:lang w:eastAsia="es-ES"/>
                <w14:ligatures w14:val="none"/>
              </w:rPr>
            </w:pPr>
            <w:r w:rsidRPr="00212DA1">
              <w:rPr>
                <w:rFonts w:ascii="Tahoma" w:eastAsia="Times New Roman" w:hAnsi="Tahoma" w:cs="Tahoma"/>
                <w:color w:val="000000"/>
                <w:kern w:val="0"/>
                <w:lang w:eastAsia="es-ES"/>
                <w14:ligatures w14:val="none"/>
              </w:rPr>
              <w:t>Exposición</w:t>
            </w:r>
          </w:p>
        </w:tc>
        <w:tc>
          <w:tcPr>
            <w:tcW w:w="1120" w:type="dxa"/>
            <w:tcBorders>
              <w:top w:val="nil"/>
              <w:left w:val="nil"/>
              <w:bottom w:val="double" w:sz="6" w:space="0" w:color="auto"/>
              <w:right w:val="nil"/>
            </w:tcBorders>
            <w:vAlign w:val="center"/>
            <w:hideMark/>
          </w:tcPr>
          <w:p w14:paraId="3F7D07A8" w14:textId="77777777" w:rsidR="00C36168" w:rsidRPr="00212DA1" w:rsidRDefault="00C36168" w:rsidP="00F65AAC">
            <w:pPr>
              <w:spacing w:after="0" w:line="240" w:lineRule="auto"/>
              <w:jc w:val="center"/>
              <w:rPr>
                <w:rFonts w:ascii="Tahoma" w:eastAsia="Times New Roman" w:hAnsi="Tahoma" w:cs="Tahoma"/>
                <w:color w:val="000000"/>
                <w:kern w:val="0"/>
                <w:lang w:eastAsia="es-ES"/>
                <w14:ligatures w14:val="none"/>
              </w:rPr>
            </w:pPr>
            <w:r w:rsidRPr="00212DA1">
              <w:rPr>
                <w:rFonts w:ascii="Tahoma" w:eastAsia="Times New Roman" w:hAnsi="Tahoma" w:cs="Tahoma"/>
                <w:color w:val="000000"/>
                <w:kern w:val="0"/>
                <w:lang w:eastAsia="es-ES"/>
                <w14:ligatures w14:val="none"/>
              </w:rPr>
              <w:t>Corre</w:t>
            </w:r>
            <w:r>
              <w:rPr>
                <w:rFonts w:ascii="Tahoma" w:eastAsia="Times New Roman" w:hAnsi="Tahoma" w:cs="Tahoma"/>
                <w:color w:val="000000"/>
                <w:kern w:val="0"/>
                <w:lang w:eastAsia="es-ES"/>
                <w14:ligatures w14:val="none"/>
              </w:rPr>
              <w:t>c</w:t>
            </w:r>
            <w:r w:rsidRPr="00212DA1">
              <w:rPr>
                <w:rFonts w:ascii="Tahoma" w:eastAsia="Times New Roman" w:hAnsi="Tahoma" w:cs="Tahoma"/>
                <w:color w:val="000000"/>
                <w:kern w:val="0"/>
                <w:lang w:eastAsia="es-ES"/>
                <w14:ligatures w14:val="none"/>
              </w:rPr>
              <w:t>ción de Valor</w:t>
            </w:r>
          </w:p>
        </w:tc>
        <w:tc>
          <w:tcPr>
            <w:tcW w:w="1120" w:type="dxa"/>
            <w:tcBorders>
              <w:top w:val="nil"/>
              <w:left w:val="nil"/>
              <w:bottom w:val="double" w:sz="6" w:space="0" w:color="auto"/>
              <w:right w:val="nil"/>
            </w:tcBorders>
            <w:vAlign w:val="center"/>
            <w:hideMark/>
          </w:tcPr>
          <w:p w14:paraId="3A9B9B63" w14:textId="77777777" w:rsidR="00C36168" w:rsidRPr="00212DA1" w:rsidRDefault="00C36168" w:rsidP="00F65AAC">
            <w:pPr>
              <w:spacing w:after="0" w:line="240" w:lineRule="auto"/>
              <w:jc w:val="center"/>
              <w:rPr>
                <w:rFonts w:ascii="Tahoma" w:eastAsia="Times New Roman" w:hAnsi="Tahoma" w:cs="Tahoma"/>
                <w:color w:val="000000"/>
                <w:kern w:val="0"/>
                <w:lang w:eastAsia="es-ES"/>
                <w14:ligatures w14:val="none"/>
              </w:rPr>
            </w:pPr>
            <w:r w:rsidRPr="00212DA1">
              <w:rPr>
                <w:rFonts w:ascii="Tahoma" w:eastAsia="Times New Roman" w:hAnsi="Tahoma" w:cs="Tahoma"/>
                <w:color w:val="000000"/>
                <w:kern w:val="0"/>
                <w:lang w:eastAsia="es-ES"/>
                <w14:ligatures w14:val="none"/>
              </w:rPr>
              <w:t>Exposición Neta</w:t>
            </w:r>
          </w:p>
        </w:tc>
        <w:tc>
          <w:tcPr>
            <w:tcW w:w="1200" w:type="dxa"/>
            <w:tcBorders>
              <w:top w:val="nil"/>
              <w:left w:val="nil"/>
              <w:bottom w:val="double" w:sz="6" w:space="0" w:color="auto"/>
              <w:right w:val="nil"/>
            </w:tcBorders>
            <w:vAlign w:val="center"/>
            <w:hideMark/>
          </w:tcPr>
          <w:p w14:paraId="7EA4F941" w14:textId="77777777" w:rsidR="00C36168" w:rsidRPr="00212DA1" w:rsidRDefault="00C36168" w:rsidP="00F65AAC">
            <w:pPr>
              <w:spacing w:after="0" w:line="240" w:lineRule="auto"/>
              <w:jc w:val="center"/>
              <w:rPr>
                <w:rFonts w:ascii="Tahoma" w:eastAsia="Times New Roman" w:hAnsi="Tahoma" w:cs="Tahoma"/>
                <w:color w:val="000000"/>
                <w:kern w:val="0"/>
                <w:lang w:eastAsia="es-ES"/>
                <w14:ligatures w14:val="none"/>
              </w:rPr>
            </w:pPr>
            <w:r w:rsidRPr="00212DA1">
              <w:rPr>
                <w:rFonts w:ascii="Tahoma" w:eastAsia="Times New Roman" w:hAnsi="Tahoma" w:cs="Tahoma"/>
                <w:color w:val="000000"/>
                <w:kern w:val="0"/>
                <w:lang w:eastAsia="es-ES"/>
                <w14:ligatures w14:val="none"/>
              </w:rPr>
              <w:t>Factor Conversión</w:t>
            </w:r>
          </w:p>
        </w:tc>
        <w:tc>
          <w:tcPr>
            <w:tcW w:w="1120" w:type="dxa"/>
            <w:tcBorders>
              <w:top w:val="nil"/>
              <w:left w:val="nil"/>
              <w:bottom w:val="double" w:sz="6" w:space="0" w:color="auto"/>
              <w:right w:val="nil"/>
            </w:tcBorders>
            <w:vAlign w:val="center"/>
            <w:hideMark/>
          </w:tcPr>
          <w:p w14:paraId="19FB4015" w14:textId="77777777" w:rsidR="00C36168" w:rsidRPr="00212DA1" w:rsidRDefault="00C36168" w:rsidP="00F65AAC">
            <w:pPr>
              <w:spacing w:after="0" w:line="240" w:lineRule="auto"/>
              <w:jc w:val="center"/>
              <w:rPr>
                <w:rFonts w:ascii="Tahoma" w:eastAsia="Times New Roman" w:hAnsi="Tahoma" w:cs="Tahoma"/>
                <w:color w:val="000000"/>
                <w:kern w:val="0"/>
                <w:lang w:eastAsia="es-ES"/>
                <w14:ligatures w14:val="none"/>
              </w:rPr>
            </w:pPr>
            <w:r w:rsidRPr="00212DA1">
              <w:rPr>
                <w:rFonts w:ascii="Tahoma" w:eastAsia="Times New Roman" w:hAnsi="Tahoma" w:cs="Tahoma"/>
                <w:color w:val="000000"/>
                <w:kern w:val="0"/>
                <w:lang w:eastAsia="es-ES"/>
                <w14:ligatures w14:val="none"/>
              </w:rPr>
              <w:t>Valor Exposición</w:t>
            </w:r>
          </w:p>
        </w:tc>
      </w:tr>
      <w:tr w:rsidR="00C36168" w:rsidRPr="00212DA1" w14:paraId="106ACB74" w14:textId="77777777" w:rsidTr="00F65AAC">
        <w:trPr>
          <w:trHeight w:val="300"/>
        </w:trPr>
        <w:tc>
          <w:tcPr>
            <w:tcW w:w="1320" w:type="dxa"/>
            <w:tcBorders>
              <w:top w:val="nil"/>
              <w:left w:val="nil"/>
              <w:bottom w:val="nil"/>
              <w:right w:val="nil"/>
            </w:tcBorders>
            <w:noWrap/>
            <w:vAlign w:val="bottom"/>
            <w:hideMark/>
          </w:tcPr>
          <w:p w14:paraId="6E31F69E" w14:textId="77777777" w:rsidR="00C36168" w:rsidRPr="00212DA1" w:rsidRDefault="00C36168" w:rsidP="00F65AAC">
            <w:pPr>
              <w:spacing w:after="0" w:line="240" w:lineRule="auto"/>
              <w:rPr>
                <w:rFonts w:ascii="Tahoma" w:eastAsia="Times New Roman" w:hAnsi="Tahoma" w:cs="Tahoma"/>
                <w:color w:val="000000"/>
                <w:kern w:val="0"/>
                <w:lang w:eastAsia="es-ES"/>
                <w14:ligatures w14:val="none"/>
              </w:rPr>
            </w:pPr>
            <w:r w:rsidRPr="00212DA1">
              <w:rPr>
                <w:rFonts w:ascii="Tahoma" w:eastAsia="Times New Roman" w:hAnsi="Tahoma" w:cs="Tahoma"/>
                <w:color w:val="000000"/>
                <w:kern w:val="0"/>
                <w:lang w:eastAsia="es-ES"/>
                <w14:ligatures w14:val="none"/>
              </w:rPr>
              <w:t>Entidades</w:t>
            </w:r>
          </w:p>
        </w:tc>
        <w:tc>
          <w:tcPr>
            <w:tcW w:w="1120" w:type="dxa"/>
            <w:tcBorders>
              <w:top w:val="nil"/>
              <w:left w:val="nil"/>
              <w:bottom w:val="nil"/>
              <w:right w:val="nil"/>
            </w:tcBorders>
            <w:noWrap/>
            <w:vAlign w:val="bottom"/>
            <w:hideMark/>
          </w:tcPr>
          <w:p w14:paraId="0DCEF593" w14:textId="77777777" w:rsidR="00C36168" w:rsidRPr="00212DA1" w:rsidRDefault="00C36168" w:rsidP="00F65AAC">
            <w:pPr>
              <w:spacing w:after="0" w:line="240" w:lineRule="auto"/>
              <w:jc w:val="right"/>
              <w:rPr>
                <w:rFonts w:ascii="Tahoma" w:eastAsia="Times New Roman" w:hAnsi="Tahoma" w:cs="Tahoma"/>
                <w:color w:val="000000"/>
                <w:kern w:val="0"/>
                <w:lang w:eastAsia="es-ES"/>
                <w14:ligatures w14:val="none"/>
              </w:rPr>
            </w:pPr>
            <w:r>
              <w:rPr>
                <w:rFonts w:ascii="Tahoma" w:eastAsia="Times New Roman" w:hAnsi="Tahoma" w:cs="Tahoma"/>
                <w:color w:val="000000"/>
                <w:kern w:val="0"/>
                <w:lang w:eastAsia="es-ES"/>
                <w14:ligatures w14:val="none"/>
              </w:rPr>
              <w:t>5.965</w:t>
            </w:r>
          </w:p>
        </w:tc>
        <w:tc>
          <w:tcPr>
            <w:tcW w:w="1120" w:type="dxa"/>
            <w:tcBorders>
              <w:top w:val="nil"/>
              <w:left w:val="nil"/>
              <w:bottom w:val="nil"/>
              <w:right w:val="nil"/>
            </w:tcBorders>
            <w:noWrap/>
            <w:vAlign w:val="bottom"/>
            <w:hideMark/>
          </w:tcPr>
          <w:p w14:paraId="57AFCAB6" w14:textId="77777777" w:rsidR="00C36168" w:rsidRPr="00212DA1" w:rsidRDefault="00C36168" w:rsidP="00F65AAC">
            <w:pPr>
              <w:spacing w:after="0" w:line="240" w:lineRule="auto"/>
              <w:jc w:val="right"/>
              <w:rPr>
                <w:rFonts w:ascii="Tahoma" w:eastAsia="Times New Roman" w:hAnsi="Tahoma" w:cs="Tahoma"/>
                <w:color w:val="000000"/>
                <w:kern w:val="0"/>
                <w:lang w:eastAsia="es-ES"/>
                <w14:ligatures w14:val="none"/>
              </w:rPr>
            </w:pPr>
          </w:p>
        </w:tc>
        <w:tc>
          <w:tcPr>
            <w:tcW w:w="1120" w:type="dxa"/>
            <w:tcBorders>
              <w:top w:val="nil"/>
              <w:left w:val="nil"/>
              <w:bottom w:val="nil"/>
              <w:right w:val="nil"/>
            </w:tcBorders>
            <w:noWrap/>
            <w:vAlign w:val="bottom"/>
            <w:hideMark/>
          </w:tcPr>
          <w:p w14:paraId="0E009ECF" w14:textId="77777777" w:rsidR="00C36168" w:rsidRPr="00212DA1" w:rsidRDefault="00C36168" w:rsidP="00F65AAC">
            <w:pPr>
              <w:spacing w:after="0" w:line="240" w:lineRule="auto"/>
              <w:jc w:val="right"/>
              <w:rPr>
                <w:rFonts w:ascii="Tahoma" w:eastAsia="Times New Roman" w:hAnsi="Tahoma" w:cs="Tahoma"/>
                <w:color w:val="000000"/>
                <w:kern w:val="0"/>
                <w:lang w:eastAsia="es-ES"/>
                <w14:ligatures w14:val="none"/>
              </w:rPr>
            </w:pPr>
            <w:r>
              <w:rPr>
                <w:rFonts w:ascii="Tahoma" w:eastAsia="Times New Roman" w:hAnsi="Tahoma" w:cs="Tahoma"/>
                <w:color w:val="000000"/>
                <w:kern w:val="0"/>
                <w:lang w:eastAsia="es-ES"/>
                <w14:ligatures w14:val="none"/>
              </w:rPr>
              <w:t>5.965</w:t>
            </w:r>
          </w:p>
        </w:tc>
        <w:tc>
          <w:tcPr>
            <w:tcW w:w="1200" w:type="dxa"/>
            <w:tcBorders>
              <w:top w:val="nil"/>
              <w:left w:val="nil"/>
              <w:bottom w:val="nil"/>
              <w:right w:val="nil"/>
            </w:tcBorders>
            <w:noWrap/>
            <w:vAlign w:val="bottom"/>
            <w:hideMark/>
          </w:tcPr>
          <w:p w14:paraId="48D913E3" w14:textId="77777777" w:rsidR="00C36168" w:rsidRPr="00212DA1" w:rsidRDefault="00C36168" w:rsidP="00F65AAC">
            <w:pPr>
              <w:spacing w:after="0" w:line="240" w:lineRule="auto"/>
              <w:jc w:val="right"/>
              <w:rPr>
                <w:rFonts w:ascii="Tahoma" w:eastAsia="Times New Roman" w:hAnsi="Tahoma" w:cs="Tahoma"/>
                <w:color w:val="000000"/>
                <w:kern w:val="0"/>
                <w:lang w:eastAsia="es-ES"/>
                <w14:ligatures w14:val="none"/>
              </w:rPr>
            </w:pPr>
          </w:p>
        </w:tc>
        <w:tc>
          <w:tcPr>
            <w:tcW w:w="1120" w:type="dxa"/>
            <w:tcBorders>
              <w:top w:val="nil"/>
              <w:left w:val="nil"/>
              <w:bottom w:val="nil"/>
              <w:right w:val="nil"/>
            </w:tcBorders>
            <w:noWrap/>
            <w:vAlign w:val="bottom"/>
            <w:hideMark/>
          </w:tcPr>
          <w:p w14:paraId="4ADCB724" w14:textId="77777777" w:rsidR="00C36168" w:rsidRPr="00212DA1" w:rsidRDefault="00C36168" w:rsidP="00F65AAC">
            <w:pPr>
              <w:spacing w:after="0" w:line="240" w:lineRule="auto"/>
              <w:jc w:val="right"/>
              <w:rPr>
                <w:rFonts w:ascii="Tahoma" w:eastAsia="Times New Roman" w:hAnsi="Tahoma" w:cs="Tahoma"/>
                <w:color w:val="000000"/>
                <w:kern w:val="0"/>
                <w:lang w:eastAsia="es-ES"/>
                <w14:ligatures w14:val="none"/>
              </w:rPr>
            </w:pPr>
            <w:r>
              <w:rPr>
                <w:rFonts w:ascii="Tahoma" w:eastAsia="Times New Roman" w:hAnsi="Tahoma" w:cs="Tahoma"/>
                <w:color w:val="000000"/>
                <w:kern w:val="0"/>
                <w:lang w:eastAsia="es-ES"/>
                <w14:ligatures w14:val="none"/>
              </w:rPr>
              <w:t>5.965</w:t>
            </w:r>
          </w:p>
        </w:tc>
      </w:tr>
      <w:tr w:rsidR="00C36168" w:rsidRPr="00212DA1" w14:paraId="5D85DA0F" w14:textId="77777777" w:rsidTr="00F65AAC">
        <w:trPr>
          <w:trHeight w:val="300"/>
        </w:trPr>
        <w:tc>
          <w:tcPr>
            <w:tcW w:w="1320" w:type="dxa"/>
            <w:tcBorders>
              <w:top w:val="nil"/>
              <w:left w:val="nil"/>
              <w:bottom w:val="nil"/>
              <w:right w:val="nil"/>
            </w:tcBorders>
            <w:noWrap/>
            <w:vAlign w:val="bottom"/>
            <w:hideMark/>
          </w:tcPr>
          <w:p w14:paraId="6C0BDFC7" w14:textId="77777777" w:rsidR="00C36168" w:rsidRPr="00212DA1" w:rsidRDefault="00C36168" w:rsidP="00F65AAC">
            <w:pPr>
              <w:spacing w:after="0" w:line="240" w:lineRule="auto"/>
              <w:rPr>
                <w:rFonts w:ascii="Tahoma" w:eastAsia="Times New Roman" w:hAnsi="Tahoma" w:cs="Tahoma"/>
                <w:color w:val="000000"/>
                <w:kern w:val="0"/>
                <w:lang w:eastAsia="es-ES"/>
                <w14:ligatures w14:val="none"/>
              </w:rPr>
            </w:pPr>
            <w:r w:rsidRPr="00212DA1">
              <w:rPr>
                <w:rFonts w:ascii="Tahoma" w:eastAsia="Times New Roman" w:hAnsi="Tahoma" w:cs="Tahoma"/>
                <w:color w:val="000000"/>
                <w:kern w:val="0"/>
                <w:lang w:eastAsia="es-ES"/>
                <w14:ligatures w14:val="none"/>
              </w:rPr>
              <w:lastRenderedPageBreak/>
              <w:t>Empresas</w:t>
            </w:r>
          </w:p>
        </w:tc>
        <w:tc>
          <w:tcPr>
            <w:tcW w:w="1120" w:type="dxa"/>
            <w:tcBorders>
              <w:top w:val="nil"/>
              <w:left w:val="nil"/>
              <w:bottom w:val="nil"/>
              <w:right w:val="nil"/>
            </w:tcBorders>
            <w:noWrap/>
            <w:vAlign w:val="bottom"/>
            <w:hideMark/>
          </w:tcPr>
          <w:p w14:paraId="1E94CFCE" w14:textId="77777777" w:rsidR="00C36168" w:rsidRPr="00212DA1" w:rsidRDefault="00C36168" w:rsidP="00F65AAC">
            <w:pPr>
              <w:spacing w:after="0" w:line="240" w:lineRule="auto"/>
              <w:jc w:val="right"/>
              <w:rPr>
                <w:rFonts w:ascii="Tahoma" w:eastAsia="Times New Roman" w:hAnsi="Tahoma" w:cs="Tahoma"/>
                <w:color w:val="000000"/>
                <w:kern w:val="0"/>
                <w:lang w:eastAsia="es-ES"/>
                <w14:ligatures w14:val="none"/>
              </w:rPr>
            </w:pPr>
            <w:r>
              <w:rPr>
                <w:rFonts w:ascii="Tahoma" w:eastAsia="Times New Roman" w:hAnsi="Tahoma" w:cs="Tahoma"/>
                <w:color w:val="000000"/>
                <w:kern w:val="0"/>
                <w:lang w:eastAsia="es-ES"/>
                <w14:ligatures w14:val="none"/>
              </w:rPr>
              <w:t>0</w:t>
            </w:r>
          </w:p>
        </w:tc>
        <w:tc>
          <w:tcPr>
            <w:tcW w:w="1120" w:type="dxa"/>
            <w:tcBorders>
              <w:top w:val="nil"/>
              <w:left w:val="nil"/>
              <w:bottom w:val="nil"/>
              <w:right w:val="nil"/>
            </w:tcBorders>
            <w:noWrap/>
            <w:vAlign w:val="bottom"/>
            <w:hideMark/>
          </w:tcPr>
          <w:p w14:paraId="4DF4C4B6" w14:textId="77777777" w:rsidR="00C36168" w:rsidRPr="00212DA1" w:rsidRDefault="00C36168" w:rsidP="00F65AAC">
            <w:pPr>
              <w:spacing w:after="0" w:line="240" w:lineRule="auto"/>
              <w:jc w:val="right"/>
              <w:rPr>
                <w:rFonts w:ascii="Tahoma" w:eastAsia="Times New Roman" w:hAnsi="Tahoma" w:cs="Tahoma"/>
                <w:color w:val="000000"/>
                <w:kern w:val="0"/>
                <w:lang w:eastAsia="es-ES"/>
                <w14:ligatures w14:val="none"/>
              </w:rPr>
            </w:pPr>
            <w:r>
              <w:rPr>
                <w:rFonts w:ascii="Tahoma" w:eastAsia="Times New Roman" w:hAnsi="Tahoma" w:cs="Tahoma"/>
                <w:color w:val="000000"/>
                <w:kern w:val="0"/>
                <w:lang w:eastAsia="es-ES"/>
                <w14:ligatures w14:val="none"/>
              </w:rPr>
              <w:t>0</w:t>
            </w:r>
          </w:p>
        </w:tc>
        <w:tc>
          <w:tcPr>
            <w:tcW w:w="1120" w:type="dxa"/>
            <w:tcBorders>
              <w:top w:val="nil"/>
              <w:left w:val="nil"/>
              <w:bottom w:val="nil"/>
              <w:right w:val="nil"/>
            </w:tcBorders>
            <w:noWrap/>
            <w:vAlign w:val="bottom"/>
            <w:hideMark/>
          </w:tcPr>
          <w:p w14:paraId="422B60C5" w14:textId="77777777" w:rsidR="00C36168" w:rsidRPr="00212DA1" w:rsidRDefault="00C36168" w:rsidP="00F65AAC">
            <w:pPr>
              <w:spacing w:after="0" w:line="240" w:lineRule="auto"/>
              <w:jc w:val="right"/>
              <w:rPr>
                <w:rFonts w:ascii="Tahoma" w:eastAsia="Times New Roman" w:hAnsi="Tahoma" w:cs="Tahoma"/>
                <w:color w:val="000000"/>
                <w:kern w:val="0"/>
                <w:lang w:eastAsia="es-ES"/>
                <w14:ligatures w14:val="none"/>
              </w:rPr>
            </w:pPr>
            <w:r>
              <w:rPr>
                <w:rFonts w:ascii="Tahoma" w:eastAsia="Times New Roman" w:hAnsi="Tahoma" w:cs="Tahoma"/>
                <w:color w:val="000000"/>
                <w:kern w:val="0"/>
                <w:lang w:eastAsia="es-ES"/>
                <w14:ligatures w14:val="none"/>
              </w:rPr>
              <w:t>0</w:t>
            </w:r>
          </w:p>
        </w:tc>
        <w:tc>
          <w:tcPr>
            <w:tcW w:w="1200" w:type="dxa"/>
            <w:tcBorders>
              <w:top w:val="nil"/>
              <w:left w:val="nil"/>
              <w:bottom w:val="nil"/>
              <w:right w:val="nil"/>
            </w:tcBorders>
            <w:noWrap/>
            <w:vAlign w:val="bottom"/>
            <w:hideMark/>
          </w:tcPr>
          <w:p w14:paraId="152C3990" w14:textId="77777777" w:rsidR="00C36168" w:rsidRPr="00212DA1" w:rsidRDefault="00C36168" w:rsidP="00F65AAC">
            <w:pPr>
              <w:spacing w:after="0" w:line="240" w:lineRule="auto"/>
              <w:jc w:val="right"/>
              <w:rPr>
                <w:rFonts w:ascii="Tahoma" w:eastAsia="Times New Roman" w:hAnsi="Tahoma" w:cs="Tahoma"/>
                <w:color w:val="000000"/>
                <w:kern w:val="0"/>
                <w:lang w:eastAsia="es-ES"/>
                <w14:ligatures w14:val="none"/>
              </w:rPr>
            </w:pPr>
          </w:p>
        </w:tc>
        <w:tc>
          <w:tcPr>
            <w:tcW w:w="1120" w:type="dxa"/>
            <w:tcBorders>
              <w:top w:val="nil"/>
              <w:left w:val="nil"/>
              <w:bottom w:val="nil"/>
              <w:right w:val="nil"/>
            </w:tcBorders>
            <w:noWrap/>
            <w:vAlign w:val="bottom"/>
            <w:hideMark/>
          </w:tcPr>
          <w:p w14:paraId="5CA9148A" w14:textId="77777777" w:rsidR="00C36168" w:rsidRPr="00212DA1" w:rsidRDefault="00C36168" w:rsidP="00F65AAC">
            <w:pPr>
              <w:spacing w:after="0" w:line="240" w:lineRule="auto"/>
              <w:jc w:val="right"/>
              <w:rPr>
                <w:rFonts w:ascii="Tahoma" w:eastAsia="Times New Roman" w:hAnsi="Tahoma" w:cs="Tahoma"/>
                <w:color w:val="000000"/>
                <w:kern w:val="0"/>
                <w:lang w:eastAsia="es-ES"/>
                <w14:ligatures w14:val="none"/>
              </w:rPr>
            </w:pPr>
            <w:r>
              <w:rPr>
                <w:rFonts w:ascii="Tahoma" w:eastAsia="Times New Roman" w:hAnsi="Tahoma" w:cs="Tahoma"/>
                <w:color w:val="000000"/>
                <w:kern w:val="0"/>
                <w:lang w:eastAsia="es-ES"/>
                <w14:ligatures w14:val="none"/>
              </w:rPr>
              <w:t>0</w:t>
            </w:r>
          </w:p>
        </w:tc>
      </w:tr>
      <w:tr w:rsidR="00C36168" w:rsidRPr="00212DA1" w14:paraId="537FA03F" w14:textId="77777777" w:rsidTr="00F65AAC">
        <w:trPr>
          <w:trHeight w:val="300"/>
        </w:trPr>
        <w:tc>
          <w:tcPr>
            <w:tcW w:w="1320" w:type="dxa"/>
            <w:tcBorders>
              <w:top w:val="nil"/>
              <w:left w:val="nil"/>
              <w:bottom w:val="nil"/>
              <w:right w:val="nil"/>
            </w:tcBorders>
            <w:noWrap/>
            <w:vAlign w:val="bottom"/>
            <w:hideMark/>
          </w:tcPr>
          <w:p w14:paraId="730B48D0" w14:textId="77777777" w:rsidR="00C36168" w:rsidRPr="00212DA1" w:rsidRDefault="00C36168" w:rsidP="00F65AAC">
            <w:pPr>
              <w:spacing w:after="0" w:line="240" w:lineRule="auto"/>
              <w:rPr>
                <w:rFonts w:ascii="Tahoma" w:eastAsia="Times New Roman" w:hAnsi="Tahoma" w:cs="Tahoma"/>
                <w:color w:val="000000"/>
                <w:kern w:val="0"/>
                <w:lang w:eastAsia="es-ES"/>
                <w14:ligatures w14:val="none"/>
              </w:rPr>
            </w:pPr>
            <w:r w:rsidRPr="00212DA1">
              <w:rPr>
                <w:rFonts w:ascii="Tahoma" w:eastAsia="Times New Roman" w:hAnsi="Tahoma" w:cs="Tahoma"/>
                <w:color w:val="000000"/>
                <w:kern w:val="0"/>
                <w:lang w:eastAsia="es-ES"/>
                <w14:ligatures w14:val="none"/>
              </w:rPr>
              <w:t>Minoristas</w:t>
            </w:r>
          </w:p>
        </w:tc>
        <w:tc>
          <w:tcPr>
            <w:tcW w:w="1120" w:type="dxa"/>
            <w:tcBorders>
              <w:top w:val="nil"/>
              <w:left w:val="nil"/>
              <w:bottom w:val="nil"/>
              <w:right w:val="nil"/>
            </w:tcBorders>
            <w:noWrap/>
            <w:vAlign w:val="bottom"/>
            <w:hideMark/>
          </w:tcPr>
          <w:p w14:paraId="12F54BD3" w14:textId="77777777" w:rsidR="00C36168" w:rsidRPr="00212DA1" w:rsidRDefault="00C36168" w:rsidP="00F65AAC">
            <w:pPr>
              <w:spacing w:after="0" w:line="240" w:lineRule="auto"/>
              <w:jc w:val="right"/>
              <w:rPr>
                <w:rFonts w:ascii="Tahoma" w:eastAsia="Times New Roman" w:hAnsi="Tahoma" w:cs="Tahoma"/>
                <w:color w:val="000000"/>
                <w:kern w:val="0"/>
                <w:lang w:eastAsia="es-ES"/>
                <w14:ligatures w14:val="none"/>
              </w:rPr>
            </w:pPr>
            <w:r>
              <w:rPr>
                <w:rFonts w:ascii="Tahoma" w:eastAsia="Times New Roman" w:hAnsi="Tahoma" w:cs="Tahoma"/>
                <w:color w:val="000000"/>
                <w:kern w:val="0"/>
                <w:lang w:eastAsia="es-ES"/>
                <w14:ligatures w14:val="none"/>
              </w:rPr>
              <w:t>2.409</w:t>
            </w:r>
          </w:p>
        </w:tc>
        <w:tc>
          <w:tcPr>
            <w:tcW w:w="1120" w:type="dxa"/>
            <w:tcBorders>
              <w:top w:val="nil"/>
              <w:left w:val="nil"/>
              <w:bottom w:val="nil"/>
              <w:right w:val="nil"/>
            </w:tcBorders>
            <w:noWrap/>
            <w:vAlign w:val="bottom"/>
            <w:hideMark/>
          </w:tcPr>
          <w:p w14:paraId="676AA5A8" w14:textId="77777777" w:rsidR="00C36168" w:rsidRPr="00212DA1" w:rsidRDefault="00C36168" w:rsidP="00F65AAC">
            <w:pPr>
              <w:spacing w:after="0" w:line="240" w:lineRule="auto"/>
              <w:jc w:val="right"/>
              <w:rPr>
                <w:rFonts w:ascii="Tahoma" w:eastAsia="Times New Roman" w:hAnsi="Tahoma" w:cs="Tahoma"/>
                <w:color w:val="000000"/>
                <w:kern w:val="0"/>
                <w:lang w:eastAsia="es-ES"/>
                <w14:ligatures w14:val="none"/>
              </w:rPr>
            </w:pPr>
            <w:r>
              <w:rPr>
                <w:rFonts w:ascii="Tahoma" w:eastAsia="Times New Roman" w:hAnsi="Tahoma" w:cs="Tahoma"/>
                <w:color w:val="000000"/>
                <w:kern w:val="0"/>
                <w:lang w:eastAsia="es-ES"/>
                <w14:ligatures w14:val="none"/>
              </w:rPr>
              <w:t>-29</w:t>
            </w:r>
          </w:p>
        </w:tc>
        <w:tc>
          <w:tcPr>
            <w:tcW w:w="1120" w:type="dxa"/>
            <w:tcBorders>
              <w:top w:val="nil"/>
              <w:left w:val="nil"/>
              <w:bottom w:val="nil"/>
              <w:right w:val="nil"/>
            </w:tcBorders>
            <w:noWrap/>
            <w:vAlign w:val="bottom"/>
            <w:hideMark/>
          </w:tcPr>
          <w:p w14:paraId="01620D3B" w14:textId="77777777" w:rsidR="00C36168" w:rsidRPr="00212DA1" w:rsidRDefault="00C36168" w:rsidP="00F65AAC">
            <w:pPr>
              <w:spacing w:after="0" w:line="240" w:lineRule="auto"/>
              <w:jc w:val="right"/>
              <w:rPr>
                <w:rFonts w:ascii="Tahoma" w:eastAsia="Times New Roman" w:hAnsi="Tahoma" w:cs="Tahoma"/>
                <w:color w:val="000000"/>
                <w:kern w:val="0"/>
                <w:lang w:eastAsia="es-ES"/>
                <w14:ligatures w14:val="none"/>
              </w:rPr>
            </w:pPr>
            <w:r>
              <w:rPr>
                <w:rFonts w:ascii="Tahoma" w:eastAsia="Times New Roman" w:hAnsi="Tahoma" w:cs="Tahoma"/>
                <w:color w:val="000000"/>
                <w:kern w:val="0"/>
                <w:lang w:eastAsia="es-ES"/>
                <w14:ligatures w14:val="none"/>
              </w:rPr>
              <w:t>2.379</w:t>
            </w:r>
          </w:p>
        </w:tc>
        <w:tc>
          <w:tcPr>
            <w:tcW w:w="1200" w:type="dxa"/>
            <w:tcBorders>
              <w:top w:val="nil"/>
              <w:left w:val="nil"/>
              <w:bottom w:val="nil"/>
              <w:right w:val="nil"/>
            </w:tcBorders>
            <w:noWrap/>
            <w:vAlign w:val="bottom"/>
            <w:hideMark/>
          </w:tcPr>
          <w:p w14:paraId="29A232D4" w14:textId="77777777" w:rsidR="00C36168" w:rsidRPr="00212DA1" w:rsidRDefault="00C36168" w:rsidP="00F65AAC">
            <w:pPr>
              <w:spacing w:after="0" w:line="240" w:lineRule="auto"/>
              <w:jc w:val="right"/>
              <w:rPr>
                <w:rFonts w:ascii="Tahoma" w:eastAsia="Times New Roman" w:hAnsi="Tahoma" w:cs="Tahoma"/>
                <w:color w:val="000000"/>
                <w:kern w:val="0"/>
                <w:lang w:eastAsia="es-ES"/>
                <w14:ligatures w14:val="none"/>
              </w:rPr>
            </w:pPr>
            <w:r>
              <w:rPr>
                <w:rFonts w:ascii="Tahoma" w:eastAsia="Times New Roman" w:hAnsi="Tahoma" w:cs="Tahoma"/>
                <w:color w:val="000000"/>
                <w:kern w:val="0"/>
                <w:lang w:eastAsia="es-ES"/>
                <w14:ligatures w14:val="none"/>
              </w:rPr>
              <w:t>-27</w:t>
            </w:r>
          </w:p>
        </w:tc>
        <w:tc>
          <w:tcPr>
            <w:tcW w:w="1120" w:type="dxa"/>
            <w:tcBorders>
              <w:top w:val="nil"/>
              <w:left w:val="nil"/>
              <w:bottom w:val="nil"/>
              <w:right w:val="nil"/>
            </w:tcBorders>
            <w:noWrap/>
            <w:vAlign w:val="bottom"/>
            <w:hideMark/>
          </w:tcPr>
          <w:p w14:paraId="4E84B0CE" w14:textId="77777777" w:rsidR="00C36168" w:rsidRPr="00212DA1" w:rsidRDefault="00C36168" w:rsidP="00F65AAC">
            <w:pPr>
              <w:spacing w:after="0" w:line="240" w:lineRule="auto"/>
              <w:jc w:val="right"/>
              <w:rPr>
                <w:rFonts w:ascii="Tahoma" w:eastAsia="Times New Roman" w:hAnsi="Tahoma" w:cs="Tahoma"/>
                <w:color w:val="000000"/>
                <w:kern w:val="0"/>
                <w:lang w:eastAsia="es-ES"/>
                <w14:ligatures w14:val="none"/>
              </w:rPr>
            </w:pPr>
            <w:r>
              <w:rPr>
                <w:rFonts w:ascii="Tahoma" w:eastAsia="Times New Roman" w:hAnsi="Tahoma" w:cs="Tahoma"/>
                <w:color w:val="000000"/>
                <w:kern w:val="0"/>
                <w:lang w:eastAsia="es-ES"/>
                <w14:ligatures w14:val="none"/>
              </w:rPr>
              <w:t>2.352</w:t>
            </w:r>
          </w:p>
        </w:tc>
      </w:tr>
      <w:tr w:rsidR="00C36168" w:rsidRPr="00212DA1" w14:paraId="251D48D4" w14:textId="77777777" w:rsidTr="00F65AAC">
        <w:trPr>
          <w:trHeight w:val="285"/>
        </w:trPr>
        <w:tc>
          <w:tcPr>
            <w:tcW w:w="1320" w:type="dxa"/>
            <w:tcBorders>
              <w:top w:val="nil"/>
              <w:left w:val="nil"/>
              <w:bottom w:val="nil"/>
              <w:right w:val="nil"/>
            </w:tcBorders>
            <w:noWrap/>
            <w:vAlign w:val="bottom"/>
            <w:hideMark/>
          </w:tcPr>
          <w:p w14:paraId="6233651B" w14:textId="77777777" w:rsidR="00C36168" w:rsidRPr="00212DA1" w:rsidRDefault="00C36168" w:rsidP="00F65AAC">
            <w:pPr>
              <w:spacing w:after="0" w:line="240" w:lineRule="auto"/>
              <w:rPr>
                <w:rFonts w:ascii="Tahoma" w:eastAsia="Times New Roman" w:hAnsi="Tahoma" w:cs="Tahoma"/>
                <w:color w:val="000000"/>
                <w:kern w:val="0"/>
                <w:lang w:eastAsia="es-ES"/>
                <w14:ligatures w14:val="none"/>
              </w:rPr>
            </w:pPr>
            <w:r w:rsidRPr="00212DA1">
              <w:rPr>
                <w:rFonts w:ascii="Tahoma" w:eastAsia="Times New Roman" w:hAnsi="Tahoma" w:cs="Tahoma"/>
                <w:color w:val="000000"/>
                <w:kern w:val="0"/>
                <w:lang w:eastAsia="es-ES"/>
                <w14:ligatures w14:val="none"/>
              </w:rPr>
              <w:t>Hipotecas</w:t>
            </w:r>
          </w:p>
        </w:tc>
        <w:tc>
          <w:tcPr>
            <w:tcW w:w="1120" w:type="dxa"/>
            <w:tcBorders>
              <w:top w:val="nil"/>
              <w:left w:val="nil"/>
              <w:bottom w:val="nil"/>
              <w:right w:val="nil"/>
            </w:tcBorders>
            <w:noWrap/>
            <w:vAlign w:val="bottom"/>
            <w:hideMark/>
          </w:tcPr>
          <w:p w14:paraId="68BA9CF0" w14:textId="77777777" w:rsidR="00C36168" w:rsidRPr="00212DA1" w:rsidRDefault="00C36168" w:rsidP="00F65AAC">
            <w:pPr>
              <w:spacing w:after="0" w:line="240" w:lineRule="auto"/>
              <w:jc w:val="right"/>
              <w:rPr>
                <w:rFonts w:ascii="Tahoma" w:eastAsia="Times New Roman" w:hAnsi="Tahoma" w:cs="Tahoma"/>
                <w:color w:val="000000"/>
                <w:kern w:val="0"/>
                <w:lang w:eastAsia="es-ES"/>
                <w14:ligatures w14:val="none"/>
              </w:rPr>
            </w:pPr>
            <w:r>
              <w:rPr>
                <w:rFonts w:ascii="Tahoma" w:eastAsia="Times New Roman" w:hAnsi="Tahoma" w:cs="Tahoma"/>
                <w:color w:val="000000"/>
                <w:kern w:val="0"/>
                <w:lang w:eastAsia="es-ES"/>
                <w14:ligatures w14:val="none"/>
              </w:rPr>
              <w:t>1.711</w:t>
            </w:r>
          </w:p>
        </w:tc>
        <w:tc>
          <w:tcPr>
            <w:tcW w:w="1120" w:type="dxa"/>
            <w:tcBorders>
              <w:top w:val="nil"/>
              <w:left w:val="nil"/>
              <w:bottom w:val="nil"/>
              <w:right w:val="nil"/>
            </w:tcBorders>
            <w:noWrap/>
            <w:vAlign w:val="bottom"/>
            <w:hideMark/>
          </w:tcPr>
          <w:p w14:paraId="5A23A51D" w14:textId="77777777" w:rsidR="00C36168" w:rsidRPr="00212DA1" w:rsidRDefault="00C36168" w:rsidP="00F65AAC">
            <w:pPr>
              <w:spacing w:after="0" w:line="240" w:lineRule="auto"/>
              <w:jc w:val="right"/>
              <w:rPr>
                <w:rFonts w:ascii="Tahoma" w:eastAsia="Times New Roman" w:hAnsi="Tahoma" w:cs="Tahoma"/>
                <w:color w:val="000000"/>
                <w:kern w:val="0"/>
                <w:lang w:eastAsia="es-ES"/>
                <w14:ligatures w14:val="none"/>
              </w:rPr>
            </w:pPr>
            <w:r w:rsidRPr="00212DA1">
              <w:rPr>
                <w:rFonts w:ascii="Tahoma" w:eastAsia="Times New Roman" w:hAnsi="Tahoma" w:cs="Tahoma"/>
                <w:color w:val="000000"/>
                <w:kern w:val="0"/>
                <w:lang w:eastAsia="es-ES"/>
                <w14:ligatures w14:val="none"/>
              </w:rPr>
              <w:t>-9</w:t>
            </w:r>
          </w:p>
        </w:tc>
        <w:tc>
          <w:tcPr>
            <w:tcW w:w="1120" w:type="dxa"/>
            <w:tcBorders>
              <w:top w:val="nil"/>
              <w:left w:val="nil"/>
              <w:bottom w:val="nil"/>
              <w:right w:val="nil"/>
            </w:tcBorders>
            <w:noWrap/>
            <w:vAlign w:val="bottom"/>
            <w:hideMark/>
          </w:tcPr>
          <w:p w14:paraId="24822207" w14:textId="77777777" w:rsidR="00C36168" w:rsidRPr="00212DA1" w:rsidRDefault="00C36168" w:rsidP="00F65AAC">
            <w:pPr>
              <w:spacing w:after="0" w:line="240" w:lineRule="auto"/>
              <w:jc w:val="right"/>
              <w:rPr>
                <w:rFonts w:ascii="Tahoma" w:eastAsia="Times New Roman" w:hAnsi="Tahoma" w:cs="Tahoma"/>
                <w:color w:val="000000"/>
                <w:kern w:val="0"/>
                <w:lang w:eastAsia="es-ES"/>
                <w14:ligatures w14:val="none"/>
              </w:rPr>
            </w:pPr>
            <w:r>
              <w:rPr>
                <w:rFonts w:ascii="Tahoma" w:eastAsia="Times New Roman" w:hAnsi="Tahoma" w:cs="Tahoma"/>
                <w:color w:val="000000"/>
                <w:kern w:val="0"/>
                <w:lang w:eastAsia="es-ES"/>
                <w14:ligatures w14:val="none"/>
              </w:rPr>
              <w:t>1.702</w:t>
            </w:r>
          </w:p>
        </w:tc>
        <w:tc>
          <w:tcPr>
            <w:tcW w:w="1200" w:type="dxa"/>
            <w:tcBorders>
              <w:top w:val="nil"/>
              <w:left w:val="nil"/>
              <w:bottom w:val="nil"/>
              <w:right w:val="nil"/>
            </w:tcBorders>
            <w:noWrap/>
            <w:vAlign w:val="bottom"/>
            <w:hideMark/>
          </w:tcPr>
          <w:p w14:paraId="2F602DE0" w14:textId="77777777" w:rsidR="00C36168" w:rsidRPr="00212DA1" w:rsidRDefault="00C36168" w:rsidP="00F65AAC">
            <w:pPr>
              <w:spacing w:after="0" w:line="240" w:lineRule="auto"/>
              <w:jc w:val="right"/>
              <w:rPr>
                <w:rFonts w:ascii="Tahoma" w:eastAsia="Times New Roman" w:hAnsi="Tahoma" w:cs="Tahoma"/>
                <w:color w:val="000000"/>
                <w:kern w:val="0"/>
                <w:lang w:eastAsia="es-ES"/>
                <w14:ligatures w14:val="none"/>
              </w:rPr>
            </w:pPr>
          </w:p>
        </w:tc>
        <w:tc>
          <w:tcPr>
            <w:tcW w:w="1120" w:type="dxa"/>
            <w:tcBorders>
              <w:top w:val="nil"/>
              <w:left w:val="nil"/>
              <w:bottom w:val="nil"/>
              <w:right w:val="nil"/>
            </w:tcBorders>
            <w:noWrap/>
            <w:vAlign w:val="bottom"/>
            <w:hideMark/>
          </w:tcPr>
          <w:p w14:paraId="17CCC138" w14:textId="77777777" w:rsidR="00C36168" w:rsidRPr="00212DA1" w:rsidRDefault="00C36168" w:rsidP="00F65AAC">
            <w:pPr>
              <w:spacing w:after="0" w:line="240" w:lineRule="auto"/>
              <w:jc w:val="right"/>
              <w:rPr>
                <w:rFonts w:ascii="Tahoma" w:eastAsia="Times New Roman" w:hAnsi="Tahoma" w:cs="Tahoma"/>
                <w:color w:val="000000"/>
                <w:kern w:val="0"/>
                <w:lang w:eastAsia="es-ES"/>
                <w14:ligatures w14:val="none"/>
              </w:rPr>
            </w:pPr>
            <w:r>
              <w:rPr>
                <w:rFonts w:ascii="Tahoma" w:eastAsia="Times New Roman" w:hAnsi="Tahoma" w:cs="Tahoma"/>
                <w:color w:val="000000"/>
                <w:kern w:val="0"/>
                <w:lang w:eastAsia="es-ES"/>
                <w14:ligatures w14:val="none"/>
              </w:rPr>
              <w:t>1.702</w:t>
            </w:r>
          </w:p>
        </w:tc>
      </w:tr>
      <w:tr w:rsidR="00C36168" w:rsidRPr="00212DA1" w14:paraId="3CFBAB1A" w14:textId="77777777" w:rsidTr="00F65AAC">
        <w:trPr>
          <w:trHeight w:val="285"/>
        </w:trPr>
        <w:tc>
          <w:tcPr>
            <w:tcW w:w="1320" w:type="dxa"/>
            <w:tcBorders>
              <w:top w:val="nil"/>
              <w:left w:val="nil"/>
              <w:bottom w:val="nil"/>
              <w:right w:val="nil"/>
            </w:tcBorders>
            <w:noWrap/>
            <w:vAlign w:val="bottom"/>
            <w:hideMark/>
          </w:tcPr>
          <w:p w14:paraId="6F7FAB6E" w14:textId="77777777" w:rsidR="00C36168" w:rsidRPr="00212DA1" w:rsidRDefault="00C36168" w:rsidP="00F65AAC">
            <w:pPr>
              <w:spacing w:after="0" w:line="240" w:lineRule="auto"/>
              <w:rPr>
                <w:rFonts w:ascii="Tahoma" w:eastAsia="Times New Roman" w:hAnsi="Tahoma" w:cs="Tahoma"/>
                <w:color w:val="000000"/>
                <w:kern w:val="0"/>
                <w:lang w:eastAsia="es-ES"/>
                <w14:ligatures w14:val="none"/>
              </w:rPr>
            </w:pPr>
            <w:r w:rsidRPr="00212DA1">
              <w:rPr>
                <w:rFonts w:ascii="Tahoma" w:eastAsia="Times New Roman" w:hAnsi="Tahoma" w:cs="Tahoma"/>
                <w:color w:val="000000"/>
                <w:kern w:val="0"/>
                <w:lang w:eastAsia="es-ES"/>
                <w14:ligatures w14:val="none"/>
              </w:rPr>
              <w:t>Mora</w:t>
            </w:r>
          </w:p>
        </w:tc>
        <w:tc>
          <w:tcPr>
            <w:tcW w:w="1120" w:type="dxa"/>
            <w:tcBorders>
              <w:top w:val="nil"/>
              <w:left w:val="nil"/>
              <w:bottom w:val="nil"/>
              <w:right w:val="nil"/>
            </w:tcBorders>
            <w:noWrap/>
            <w:vAlign w:val="bottom"/>
            <w:hideMark/>
          </w:tcPr>
          <w:p w14:paraId="0FE08091" w14:textId="77777777" w:rsidR="00C36168" w:rsidRPr="00212DA1" w:rsidRDefault="00C36168" w:rsidP="00F65AAC">
            <w:pPr>
              <w:spacing w:after="0" w:line="240" w:lineRule="auto"/>
              <w:jc w:val="right"/>
              <w:rPr>
                <w:rFonts w:ascii="Tahoma" w:eastAsia="Times New Roman" w:hAnsi="Tahoma" w:cs="Tahoma"/>
                <w:color w:val="000000"/>
                <w:kern w:val="0"/>
                <w:lang w:eastAsia="es-ES"/>
                <w14:ligatures w14:val="none"/>
              </w:rPr>
            </w:pPr>
            <w:r>
              <w:rPr>
                <w:rFonts w:ascii="Tahoma" w:eastAsia="Times New Roman" w:hAnsi="Tahoma" w:cs="Tahoma"/>
                <w:color w:val="000000"/>
                <w:kern w:val="0"/>
                <w:lang w:eastAsia="es-ES"/>
                <w14:ligatures w14:val="none"/>
              </w:rPr>
              <w:t>314</w:t>
            </w:r>
          </w:p>
        </w:tc>
        <w:tc>
          <w:tcPr>
            <w:tcW w:w="1120" w:type="dxa"/>
            <w:tcBorders>
              <w:top w:val="nil"/>
              <w:left w:val="nil"/>
              <w:bottom w:val="nil"/>
              <w:right w:val="nil"/>
            </w:tcBorders>
            <w:noWrap/>
            <w:vAlign w:val="bottom"/>
            <w:hideMark/>
          </w:tcPr>
          <w:p w14:paraId="32B0F9D7" w14:textId="77777777" w:rsidR="00C36168" w:rsidRPr="00212DA1" w:rsidRDefault="00C36168" w:rsidP="00F65AAC">
            <w:pPr>
              <w:spacing w:after="0" w:line="240" w:lineRule="auto"/>
              <w:jc w:val="right"/>
              <w:rPr>
                <w:rFonts w:ascii="Tahoma" w:eastAsia="Times New Roman" w:hAnsi="Tahoma" w:cs="Tahoma"/>
                <w:color w:val="000000"/>
                <w:kern w:val="0"/>
                <w:lang w:eastAsia="es-ES"/>
                <w14:ligatures w14:val="none"/>
              </w:rPr>
            </w:pPr>
            <w:r>
              <w:rPr>
                <w:rFonts w:ascii="Tahoma" w:eastAsia="Times New Roman" w:hAnsi="Tahoma" w:cs="Tahoma"/>
                <w:color w:val="000000"/>
                <w:kern w:val="0"/>
                <w:lang w:eastAsia="es-ES"/>
                <w14:ligatures w14:val="none"/>
              </w:rPr>
              <w:t>-242</w:t>
            </w:r>
          </w:p>
        </w:tc>
        <w:tc>
          <w:tcPr>
            <w:tcW w:w="1120" w:type="dxa"/>
            <w:tcBorders>
              <w:top w:val="nil"/>
              <w:left w:val="nil"/>
              <w:bottom w:val="nil"/>
              <w:right w:val="nil"/>
            </w:tcBorders>
            <w:noWrap/>
            <w:vAlign w:val="bottom"/>
            <w:hideMark/>
          </w:tcPr>
          <w:p w14:paraId="4A6D8BAA" w14:textId="77777777" w:rsidR="00C36168" w:rsidRPr="00212DA1" w:rsidRDefault="00C36168" w:rsidP="00F65AAC">
            <w:pPr>
              <w:spacing w:after="0" w:line="240" w:lineRule="auto"/>
              <w:jc w:val="right"/>
              <w:rPr>
                <w:rFonts w:ascii="Tahoma" w:eastAsia="Times New Roman" w:hAnsi="Tahoma" w:cs="Tahoma"/>
                <w:color w:val="000000"/>
                <w:kern w:val="0"/>
                <w:lang w:eastAsia="es-ES"/>
                <w14:ligatures w14:val="none"/>
              </w:rPr>
            </w:pPr>
            <w:r>
              <w:rPr>
                <w:rFonts w:ascii="Tahoma" w:eastAsia="Times New Roman" w:hAnsi="Tahoma" w:cs="Tahoma"/>
                <w:color w:val="000000"/>
                <w:kern w:val="0"/>
                <w:lang w:eastAsia="es-ES"/>
                <w14:ligatures w14:val="none"/>
              </w:rPr>
              <w:t>71</w:t>
            </w:r>
          </w:p>
        </w:tc>
        <w:tc>
          <w:tcPr>
            <w:tcW w:w="1200" w:type="dxa"/>
            <w:tcBorders>
              <w:top w:val="nil"/>
              <w:left w:val="nil"/>
              <w:bottom w:val="nil"/>
              <w:right w:val="nil"/>
            </w:tcBorders>
            <w:noWrap/>
            <w:vAlign w:val="bottom"/>
            <w:hideMark/>
          </w:tcPr>
          <w:p w14:paraId="6793DB70" w14:textId="77777777" w:rsidR="00C36168" w:rsidRPr="00212DA1" w:rsidRDefault="00C36168" w:rsidP="00F65AAC">
            <w:pPr>
              <w:spacing w:after="0" w:line="240" w:lineRule="auto"/>
              <w:jc w:val="right"/>
              <w:rPr>
                <w:rFonts w:ascii="Tahoma" w:eastAsia="Times New Roman" w:hAnsi="Tahoma" w:cs="Tahoma"/>
                <w:color w:val="000000"/>
                <w:kern w:val="0"/>
                <w:lang w:eastAsia="es-ES"/>
                <w14:ligatures w14:val="none"/>
              </w:rPr>
            </w:pPr>
          </w:p>
        </w:tc>
        <w:tc>
          <w:tcPr>
            <w:tcW w:w="1120" w:type="dxa"/>
            <w:tcBorders>
              <w:top w:val="nil"/>
              <w:left w:val="nil"/>
              <w:bottom w:val="nil"/>
              <w:right w:val="nil"/>
            </w:tcBorders>
            <w:noWrap/>
            <w:vAlign w:val="bottom"/>
            <w:hideMark/>
          </w:tcPr>
          <w:p w14:paraId="2E5639FF" w14:textId="77777777" w:rsidR="00C36168" w:rsidRPr="00212DA1" w:rsidRDefault="00C36168" w:rsidP="00F65AAC">
            <w:pPr>
              <w:spacing w:after="0" w:line="240" w:lineRule="auto"/>
              <w:jc w:val="right"/>
              <w:rPr>
                <w:rFonts w:ascii="Tahoma" w:eastAsia="Times New Roman" w:hAnsi="Tahoma" w:cs="Tahoma"/>
                <w:color w:val="000000"/>
                <w:kern w:val="0"/>
                <w:lang w:eastAsia="es-ES"/>
                <w14:ligatures w14:val="none"/>
              </w:rPr>
            </w:pPr>
            <w:r>
              <w:rPr>
                <w:rFonts w:ascii="Tahoma" w:eastAsia="Times New Roman" w:hAnsi="Tahoma" w:cs="Tahoma"/>
                <w:color w:val="000000"/>
                <w:kern w:val="0"/>
                <w:lang w:eastAsia="es-ES"/>
                <w14:ligatures w14:val="none"/>
              </w:rPr>
              <w:t>71</w:t>
            </w:r>
          </w:p>
        </w:tc>
      </w:tr>
      <w:tr w:rsidR="00C36168" w:rsidRPr="00212DA1" w14:paraId="1E00013A" w14:textId="77777777" w:rsidTr="00F65AAC">
        <w:trPr>
          <w:trHeight w:val="300"/>
        </w:trPr>
        <w:tc>
          <w:tcPr>
            <w:tcW w:w="1320" w:type="dxa"/>
            <w:tcBorders>
              <w:top w:val="nil"/>
              <w:left w:val="nil"/>
              <w:bottom w:val="nil"/>
              <w:right w:val="nil"/>
            </w:tcBorders>
            <w:noWrap/>
            <w:vAlign w:val="bottom"/>
            <w:hideMark/>
          </w:tcPr>
          <w:p w14:paraId="1DDFD884" w14:textId="77777777" w:rsidR="00C36168" w:rsidRPr="00212DA1" w:rsidRDefault="00C36168" w:rsidP="00F65AAC">
            <w:pPr>
              <w:spacing w:after="0" w:line="240" w:lineRule="auto"/>
              <w:rPr>
                <w:rFonts w:ascii="Tahoma" w:eastAsia="Times New Roman" w:hAnsi="Tahoma" w:cs="Tahoma"/>
                <w:color w:val="000000"/>
                <w:kern w:val="0"/>
                <w:lang w:eastAsia="es-ES"/>
                <w14:ligatures w14:val="none"/>
              </w:rPr>
            </w:pPr>
            <w:r w:rsidRPr="00212DA1">
              <w:rPr>
                <w:rFonts w:ascii="Tahoma" w:eastAsia="Times New Roman" w:hAnsi="Tahoma" w:cs="Tahoma"/>
                <w:color w:val="000000"/>
                <w:kern w:val="0"/>
                <w:lang w:eastAsia="es-ES"/>
                <w14:ligatures w14:val="none"/>
              </w:rPr>
              <w:t>Otras</w:t>
            </w:r>
          </w:p>
        </w:tc>
        <w:tc>
          <w:tcPr>
            <w:tcW w:w="1120" w:type="dxa"/>
            <w:tcBorders>
              <w:top w:val="nil"/>
              <w:left w:val="nil"/>
              <w:bottom w:val="nil"/>
              <w:right w:val="nil"/>
            </w:tcBorders>
            <w:noWrap/>
            <w:vAlign w:val="bottom"/>
            <w:hideMark/>
          </w:tcPr>
          <w:p w14:paraId="2F821227" w14:textId="77777777" w:rsidR="00C36168" w:rsidRPr="00212DA1" w:rsidRDefault="00C36168" w:rsidP="00F65AAC">
            <w:pPr>
              <w:spacing w:after="0" w:line="240" w:lineRule="auto"/>
              <w:jc w:val="right"/>
              <w:rPr>
                <w:rFonts w:ascii="Tahoma" w:eastAsia="Times New Roman" w:hAnsi="Tahoma" w:cs="Tahoma"/>
                <w:color w:val="000000"/>
                <w:kern w:val="0"/>
                <w:lang w:eastAsia="es-ES"/>
                <w14:ligatures w14:val="none"/>
              </w:rPr>
            </w:pPr>
            <w:r>
              <w:rPr>
                <w:rFonts w:ascii="Tahoma" w:eastAsia="Times New Roman" w:hAnsi="Tahoma" w:cs="Tahoma"/>
                <w:color w:val="000000"/>
                <w:kern w:val="0"/>
                <w:lang w:eastAsia="es-ES"/>
                <w14:ligatures w14:val="none"/>
              </w:rPr>
              <w:t>173</w:t>
            </w:r>
          </w:p>
        </w:tc>
        <w:tc>
          <w:tcPr>
            <w:tcW w:w="1120" w:type="dxa"/>
            <w:tcBorders>
              <w:top w:val="nil"/>
              <w:left w:val="nil"/>
              <w:bottom w:val="nil"/>
              <w:right w:val="nil"/>
            </w:tcBorders>
            <w:noWrap/>
            <w:vAlign w:val="bottom"/>
            <w:hideMark/>
          </w:tcPr>
          <w:p w14:paraId="2BFF1F9C" w14:textId="77777777" w:rsidR="00C36168" w:rsidRPr="00212DA1" w:rsidRDefault="00C36168" w:rsidP="00F65AAC">
            <w:pPr>
              <w:spacing w:after="0" w:line="240" w:lineRule="auto"/>
              <w:jc w:val="right"/>
              <w:rPr>
                <w:rFonts w:ascii="Tahoma" w:eastAsia="Times New Roman" w:hAnsi="Tahoma" w:cs="Tahoma"/>
                <w:color w:val="000000"/>
                <w:kern w:val="0"/>
                <w:lang w:eastAsia="es-ES"/>
                <w14:ligatures w14:val="none"/>
              </w:rPr>
            </w:pPr>
            <w:r w:rsidRPr="00212DA1">
              <w:rPr>
                <w:rFonts w:ascii="Tahoma" w:eastAsia="Times New Roman" w:hAnsi="Tahoma" w:cs="Tahoma"/>
                <w:color w:val="000000"/>
                <w:kern w:val="0"/>
                <w:lang w:eastAsia="es-ES"/>
                <w14:ligatures w14:val="none"/>
              </w:rPr>
              <w:t>0</w:t>
            </w:r>
          </w:p>
        </w:tc>
        <w:tc>
          <w:tcPr>
            <w:tcW w:w="1120" w:type="dxa"/>
            <w:tcBorders>
              <w:top w:val="nil"/>
              <w:left w:val="nil"/>
              <w:bottom w:val="nil"/>
              <w:right w:val="nil"/>
            </w:tcBorders>
            <w:noWrap/>
            <w:vAlign w:val="bottom"/>
            <w:hideMark/>
          </w:tcPr>
          <w:p w14:paraId="756C7B69" w14:textId="77777777" w:rsidR="00C36168" w:rsidRPr="00212DA1" w:rsidRDefault="00C36168" w:rsidP="00F65AAC">
            <w:pPr>
              <w:spacing w:after="0" w:line="240" w:lineRule="auto"/>
              <w:jc w:val="right"/>
              <w:rPr>
                <w:rFonts w:ascii="Tahoma" w:eastAsia="Times New Roman" w:hAnsi="Tahoma" w:cs="Tahoma"/>
                <w:color w:val="000000"/>
                <w:kern w:val="0"/>
                <w:lang w:eastAsia="es-ES"/>
                <w14:ligatures w14:val="none"/>
              </w:rPr>
            </w:pPr>
            <w:r>
              <w:rPr>
                <w:rFonts w:ascii="Tahoma" w:eastAsia="Times New Roman" w:hAnsi="Tahoma" w:cs="Tahoma"/>
                <w:color w:val="000000"/>
                <w:kern w:val="0"/>
                <w:lang w:eastAsia="es-ES"/>
                <w14:ligatures w14:val="none"/>
              </w:rPr>
              <w:t>173</w:t>
            </w:r>
          </w:p>
        </w:tc>
        <w:tc>
          <w:tcPr>
            <w:tcW w:w="1200" w:type="dxa"/>
            <w:tcBorders>
              <w:top w:val="nil"/>
              <w:left w:val="nil"/>
              <w:bottom w:val="nil"/>
              <w:right w:val="nil"/>
            </w:tcBorders>
            <w:noWrap/>
            <w:vAlign w:val="bottom"/>
            <w:hideMark/>
          </w:tcPr>
          <w:p w14:paraId="5DC75FE2" w14:textId="77777777" w:rsidR="00C36168" w:rsidRPr="00212DA1" w:rsidRDefault="00C36168" w:rsidP="00F65AAC">
            <w:pPr>
              <w:spacing w:after="0" w:line="240" w:lineRule="auto"/>
              <w:jc w:val="right"/>
              <w:rPr>
                <w:rFonts w:ascii="Tahoma" w:eastAsia="Times New Roman" w:hAnsi="Tahoma" w:cs="Tahoma"/>
                <w:color w:val="000000"/>
                <w:kern w:val="0"/>
                <w:lang w:eastAsia="es-ES"/>
                <w14:ligatures w14:val="none"/>
              </w:rPr>
            </w:pPr>
          </w:p>
        </w:tc>
        <w:tc>
          <w:tcPr>
            <w:tcW w:w="1120" w:type="dxa"/>
            <w:tcBorders>
              <w:top w:val="nil"/>
              <w:left w:val="nil"/>
              <w:bottom w:val="nil"/>
              <w:right w:val="nil"/>
            </w:tcBorders>
            <w:noWrap/>
            <w:vAlign w:val="bottom"/>
            <w:hideMark/>
          </w:tcPr>
          <w:p w14:paraId="44B63AF1" w14:textId="77777777" w:rsidR="00C36168" w:rsidRPr="00212DA1" w:rsidRDefault="00C36168" w:rsidP="00F65AAC">
            <w:pPr>
              <w:spacing w:after="0" w:line="240" w:lineRule="auto"/>
              <w:jc w:val="right"/>
              <w:rPr>
                <w:rFonts w:ascii="Tahoma" w:eastAsia="Times New Roman" w:hAnsi="Tahoma" w:cs="Tahoma"/>
                <w:color w:val="000000"/>
                <w:kern w:val="0"/>
                <w:lang w:eastAsia="es-ES"/>
                <w14:ligatures w14:val="none"/>
              </w:rPr>
            </w:pPr>
            <w:r>
              <w:rPr>
                <w:rFonts w:ascii="Tahoma" w:eastAsia="Times New Roman" w:hAnsi="Tahoma" w:cs="Tahoma"/>
                <w:color w:val="000000"/>
                <w:kern w:val="0"/>
                <w:lang w:eastAsia="es-ES"/>
                <w14:ligatures w14:val="none"/>
              </w:rPr>
              <w:t>173</w:t>
            </w:r>
          </w:p>
        </w:tc>
      </w:tr>
      <w:tr w:rsidR="00C36168" w:rsidRPr="00212DA1" w14:paraId="00A52750" w14:textId="77777777" w:rsidTr="00F65AAC">
        <w:trPr>
          <w:trHeight w:val="315"/>
        </w:trPr>
        <w:tc>
          <w:tcPr>
            <w:tcW w:w="1320" w:type="dxa"/>
            <w:tcBorders>
              <w:top w:val="single" w:sz="4" w:space="0" w:color="auto"/>
              <w:left w:val="nil"/>
              <w:bottom w:val="double" w:sz="6" w:space="0" w:color="auto"/>
              <w:right w:val="nil"/>
            </w:tcBorders>
            <w:noWrap/>
            <w:vAlign w:val="bottom"/>
            <w:hideMark/>
          </w:tcPr>
          <w:p w14:paraId="013BC11A" w14:textId="77777777" w:rsidR="00C36168" w:rsidRPr="00212DA1" w:rsidRDefault="00C36168" w:rsidP="00F65AAC">
            <w:pPr>
              <w:spacing w:after="0" w:line="240" w:lineRule="auto"/>
              <w:rPr>
                <w:rFonts w:ascii="Tahoma" w:eastAsia="Times New Roman" w:hAnsi="Tahoma" w:cs="Tahoma"/>
                <w:color w:val="000000"/>
                <w:kern w:val="0"/>
                <w:lang w:eastAsia="es-ES"/>
                <w14:ligatures w14:val="none"/>
              </w:rPr>
            </w:pPr>
            <w:r w:rsidRPr="00212DA1">
              <w:rPr>
                <w:rFonts w:ascii="Tahoma" w:eastAsia="Times New Roman" w:hAnsi="Tahoma" w:cs="Tahoma"/>
                <w:color w:val="000000"/>
                <w:kern w:val="0"/>
                <w:lang w:eastAsia="es-ES"/>
                <w14:ligatures w14:val="none"/>
              </w:rPr>
              <w:t>Total</w:t>
            </w:r>
          </w:p>
        </w:tc>
        <w:tc>
          <w:tcPr>
            <w:tcW w:w="1120" w:type="dxa"/>
            <w:tcBorders>
              <w:top w:val="single" w:sz="4" w:space="0" w:color="auto"/>
              <w:left w:val="nil"/>
              <w:bottom w:val="double" w:sz="6" w:space="0" w:color="auto"/>
              <w:right w:val="nil"/>
            </w:tcBorders>
            <w:noWrap/>
            <w:vAlign w:val="bottom"/>
            <w:hideMark/>
          </w:tcPr>
          <w:p w14:paraId="6C6BAA4E" w14:textId="77777777" w:rsidR="00C36168" w:rsidRPr="00212DA1" w:rsidRDefault="00C36168" w:rsidP="00F65AAC">
            <w:pPr>
              <w:spacing w:after="0" w:line="240" w:lineRule="auto"/>
              <w:jc w:val="right"/>
              <w:rPr>
                <w:rFonts w:ascii="Tahoma" w:eastAsia="Times New Roman" w:hAnsi="Tahoma" w:cs="Tahoma"/>
                <w:color w:val="000000"/>
                <w:kern w:val="0"/>
                <w:lang w:eastAsia="es-ES"/>
                <w14:ligatures w14:val="none"/>
              </w:rPr>
            </w:pPr>
            <w:r>
              <w:rPr>
                <w:rFonts w:ascii="Tahoma" w:eastAsia="Times New Roman" w:hAnsi="Tahoma" w:cs="Tahoma"/>
                <w:color w:val="000000"/>
                <w:kern w:val="0"/>
                <w:lang w:eastAsia="es-ES"/>
                <w14:ligatures w14:val="none"/>
              </w:rPr>
              <w:t>10.571</w:t>
            </w:r>
          </w:p>
        </w:tc>
        <w:tc>
          <w:tcPr>
            <w:tcW w:w="1120" w:type="dxa"/>
            <w:tcBorders>
              <w:top w:val="single" w:sz="4" w:space="0" w:color="auto"/>
              <w:left w:val="nil"/>
              <w:bottom w:val="double" w:sz="6" w:space="0" w:color="auto"/>
              <w:right w:val="nil"/>
            </w:tcBorders>
            <w:noWrap/>
            <w:vAlign w:val="bottom"/>
            <w:hideMark/>
          </w:tcPr>
          <w:p w14:paraId="79716473" w14:textId="77777777" w:rsidR="00C36168" w:rsidRPr="00212DA1" w:rsidRDefault="00C36168" w:rsidP="00F65AAC">
            <w:pPr>
              <w:spacing w:after="0" w:line="240" w:lineRule="auto"/>
              <w:jc w:val="right"/>
              <w:rPr>
                <w:rFonts w:ascii="Tahoma" w:eastAsia="Times New Roman" w:hAnsi="Tahoma" w:cs="Tahoma"/>
                <w:color w:val="000000"/>
                <w:kern w:val="0"/>
                <w:lang w:eastAsia="es-ES"/>
                <w14:ligatures w14:val="none"/>
              </w:rPr>
            </w:pPr>
            <w:r>
              <w:rPr>
                <w:rFonts w:ascii="Tahoma" w:eastAsia="Times New Roman" w:hAnsi="Tahoma" w:cs="Tahoma"/>
                <w:color w:val="000000"/>
                <w:kern w:val="0"/>
                <w:lang w:eastAsia="es-ES"/>
                <w14:ligatures w14:val="none"/>
              </w:rPr>
              <w:t>-281</w:t>
            </w:r>
          </w:p>
        </w:tc>
        <w:tc>
          <w:tcPr>
            <w:tcW w:w="1120" w:type="dxa"/>
            <w:tcBorders>
              <w:top w:val="single" w:sz="4" w:space="0" w:color="auto"/>
              <w:left w:val="nil"/>
              <w:bottom w:val="double" w:sz="6" w:space="0" w:color="auto"/>
              <w:right w:val="nil"/>
            </w:tcBorders>
            <w:noWrap/>
            <w:vAlign w:val="bottom"/>
            <w:hideMark/>
          </w:tcPr>
          <w:p w14:paraId="0E278DBC" w14:textId="77777777" w:rsidR="00C36168" w:rsidRPr="00212DA1" w:rsidRDefault="00C36168" w:rsidP="00F65AAC">
            <w:pPr>
              <w:spacing w:after="0" w:line="240" w:lineRule="auto"/>
              <w:jc w:val="right"/>
              <w:rPr>
                <w:rFonts w:ascii="Tahoma" w:eastAsia="Times New Roman" w:hAnsi="Tahoma" w:cs="Tahoma"/>
                <w:color w:val="000000"/>
                <w:kern w:val="0"/>
                <w:lang w:eastAsia="es-ES"/>
                <w14:ligatures w14:val="none"/>
              </w:rPr>
            </w:pPr>
            <w:r>
              <w:rPr>
                <w:rFonts w:ascii="Tahoma" w:eastAsia="Times New Roman" w:hAnsi="Tahoma" w:cs="Tahoma"/>
                <w:color w:val="000000"/>
                <w:kern w:val="0"/>
                <w:lang w:eastAsia="es-ES"/>
                <w14:ligatures w14:val="none"/>
              </w:rPr>
              <w:t>10.291</w:t>
            </w:r>
          </w:p>
        </w:tc>
        <w:tc>
          <w:tcPr>
            <w:tcW w:w="1200" w:type="dxa"/>
            <w:tcBorders>
              <w:top w:val="single" w:sz="4" w:space="0" w:color="auto"/>
              <w:left w:val="nil"/>
              <w:bottom w:val="double" w:sz="6" w:space="0" w:color="auto"/>
              <w:right w:val="nil"/>
            </w:tcBorders>
            <w:noWrap/>
            <w:vAlign w:val="bottom"/>
            <w:hideMark/>
          </w:tcPr>
          <w:p w14:paraId="1E7525D0" w14:textId="77777777" w:rsidR="00C36168" w:rsidRPr="00212DA1" w:rsidRDefault="00C36168" w:rsidP="00F65AAC">
            <w:pPr>
              <w:spacing w:after="0" w:line="240" w:lineRule="auto"/>
              <w:jc w:val="right"/>
              <w:rPr>
                <w:rFonts w:ascii="Tahoma" w:eastAsia="Times New Roman" w:hAnsi="Tahoma" w:cs="Tahoma"/>
                <w:color w:val="000000"/>
                <w:kern w:val="0"/>
                <w:lang w:eastAsia="es-ES"/>
                <w14:ligatures w14:val="none"/>
              </w:rPr>
            </w:pPr>
            <w:r>
              <w:rPr>
                <w:rFonts w:ascii="Tahoma" w:eastAsia="Times New Roman" w:hAnsi="Tahoma" w:cs="Tahoma"/>
                <w:color w:val="000000"/>
                <w:kern w:val="0"/>
                <w:lang w:eastAsia="es-ES"/>
                <w14:ligatures w14:val="none"/>
              </w:rPr>
              <w:t>-27</w:t>
            </w:r>
          </w:p>
        </w:tc>
        <w:tc>
          <w:tcPr>
            <w:tcW w:w="1120" w:type="dxa"/>
            <w:tcBorders>
              <w:top w:val="single" w:sz="4" w:space="0" w:color="auto"/>
              <w:left w:val="nil"/>
              <w:bottom w:val="double" w:sz="6" w:space="0" w:color="auto"/>
              <w:right w:val="nil"/>
            </w:tcBorders>
            <w:noWrap/>
            <w:vAlign w:val="bottom"/>
            <w:hideMark/>
          </w:tcPr>
          <w:p w14:paraId="0F385F1A" w14:textId="77777777" w:rsidR="00C36168" w:rsidRPr="00212DA1" w:rsidRDefault="00C36168" w:rsidP="00F65AAC">
            <w:pPr>
              <w:spacing w:after="0" w:line="240" w:lineRule="auto"/>
              <w:jc w:val="right"/>
              <w:rPr>
                <w:rFonts w:ascii="Tahoma" w:eastAsia="Times New Roman" w:hAnsi="Tahoma" w:cs="Tahoma"/>
                <w:color w:val="000000"/>
                <w:kern w:val="0"/>
                <w:lang w:eastAsia="es-ES"/>
                <w14:ligatures w14:val="none"/>
              </w:rPr>
            </w:pPr>
            <w:r>
              <w:rPr>
                <w:rFonts w:ascii="Tahoma" w:eastAsia="Times New Roman" w:hAnsi="Tahoma" w:cs="Tahoma"/>
                <w:color w:val="000000"/>
                <w:kern w:val="0"/>
                <w:lang w:eastAsia="es-ES"/>
                <w14:ligatures w14:val="none"/>
              </w:rPr>
              <w:t>10.263</w:t>
            </w:r>
          </w:p>
        </w:tc>
      </w:tr>
    </w:tbl>
    <w:p w14:paraId="5AE1EABF" w14:textId="77777777" w:rsidR="00C36168" w:rsidRDefault="00C36168" w:rsidP="00C36168">
      <w:pPr>
        <w:autoSpaceDE w:val="0"/>
        <w:autoSpaceDN w:val="0"/>
        <w:adjustRightInd w:val="0"/>
        <w:spacing w:after="0" w:line="240" w:lineRule="auto"/>
        <w:jc w:val="both"/>
        <w:rPr>
          <w:rFonts w:ascii="Tahoma" w:hAnsi="Tahoma" w:cs="Tahoma"/>
          <w:color w:val="1F497D"/>
          <w:kern w:val="0"/>
        </w:rPr>
      </w:pPr>
    </w:p>
    <w:p w14:paraId="27F7948E" w14:textId="77777777" w:rsidR="00C36168" w:rsidRPr="00B266FB" w:rsidRDefault="00C36168" w:rsidP="00C36168">
      <w:pPr>
        <w:autoSpaceDE w:val="0"/>
        <w:autoSpaceDN w:val="0"/>
        <w:adjustRightInd w:val="0"/>
        <w:spacing w:after="120" w:line="240" w:lineRule="auto"/>
        <w:jc w:val="both"/>
        <w:rPr>
          <w:rFonts w:ascii="Tahoma" w:hAnsi="Tahoma" w:cs="Tahoma"/>
          <w:b/>
          <w:bCs/>
          <w:color w:val="626A1A" w:themeColor="accent3" w:themeShade="80"/>
          <w:kern w:val="0"/>
        </w:rPr>
      </w:pPr>
      <w:r w:rsidRPr="00B266FB">
        <w:rPr>
          <w:rFonts w:ascii="Tahoma" w:hAnsi="Tahoma" w:cs="Tahoma"/>
          <w:b/>
          <w:bCs/>
          <w:color w:val="626A1A" w:themeColor="accent3" w:themeShade="80"/>
          <w:kern w:val="0"/>
        </w:rPr>
        <w:t>4.3. Valor medio de exposiciones, dividido por categorías de</w:t>
      </w:r>
      <w:r>
        <w:rPr>
          <w:rFonts w:ascii="Tahoma" w:hAnsi="Tahoma" w:cs="Tahoma"/>
          <w:b/>
          <w:bCs/>
          <w:color w:val="626A1A" w:themeColor="accent3" w:themeShade="80"/>
          <w:kern w:val="0"/>
        </w:rPr>
        <w:t xml:space="preserve"> </w:t>
      </w:r>
      <w:r w:rsidRPr="00B266FB">
        <w:rPr>
          <w:rFonts w:ascii="Tahoma" w:hAnsi="Tahoma" w:cs="Tahoma"/>
          <w:b/>
          <w:bCs/>
          <w:color w:val="626A1A" w:themeColor="accent3" w:themeShade="80"/>
          <w:kern w:val="0"/>
        </w:rPr>
        <w:t>exposición.</w:t>
      </w:r>
    </w:p>
    <w:p w14:paraId="600AD17E" w14:textId="77777777" w:rsidR="00C36168" w:rsidRDefault="00C36168" w:rsidP="00C36168">
      <w:pPr>
        <w:autoSpaceDE w:val="0"/>
        <w:autoSpaceDN w:val="0"/>
        <w:adjustRightInd w:val="0"/>
        <w:spacing w:after="0" w:line="240" w:lineRule="auto"/>
        <w:jc w:val="both"/>
        <w:rPr>
          <w:rFonts w:ascii="Tahoma" w:hAnsi="Tahoma" w:cs="Tahoma"/>
          <w:color w:val="000000"/>
          <w:kern w:val="0"/>
        </w:rPr>
      </w:pPr>
      <w:r w:rsidRPr="00FF7433">
        <w:rPr>
          <w:rFonts w:ascii="Tahoma" w:hAnsi="Tahoma" w:cs="Tahoma"/>
          <w:color w:val="000000"/>
          <w:kern w:val="0"/>
        </w:rPr>
        <w:t>Calculamos el valor medio de las exposiciones para el ejercicio 202</w:t>
      </w:r>
      <w:r>
        <w:rPr>
          <w:rFonts w:ascii="Tahoma" w:hAnsi="Tahoma" w:cs="Tahoma"/>
          <w:color w:val="000000"/>
          <w:kern w:val="0"/>
        </w:rPr>
        <w:t>5</w:t>
      </w:r>
      <w:r w:rsidRPr="00FF7433">
        <w:rPr>
          <w:rFonts w:ascii="Tahoma" w:hAnsi="Tahoma" w:cs="Tahoma"/>
          <w:color w:val="000000"/>
          <w:kern w:val="0"/>
        </w:rPr>
        <w:t xml:space="preserve"> considerando</w:t>
      </w:r>
      <w:r>
        <w:rPr>
          <w:rFonts w:ascii="Tahoma" w:hAnsi="Tahoma" w:cs="Tahoma"/>
          <w:color w:val="000000"/>
          <w:kern w:val="0"/>
        </w:rPr>
        <w:t xml:space="preserve"> </w:t>
      </w:r>
      <w:r w:rsidRPr="00FF7433">
        <w:rPr>
          <w:rFonts w:ascii="Tahoma" w:hAnsi="Tahoma" w:cs="Tahoma"/>
          <w:color w:val="000000"/>
          <w:kern w:val="0"/>
        </w:rPr>
        <w:t>las</w:t>
      </w:r>
      <w:r>
        <w:rPr>
          <w:rFonts w:ascii="Tahoma" w:hAnsi="Tahoma" w:cs="Tahoma"/>
          <w:color w:val="000000"/>
          <w:kern w:val="0"/>
        </w:rPr>
        <w:t xml:space="preserve"> e</w:t>
      </w:r>
      <w:r w:rsidRPr="00FF7433">
        <w:rPr>
          <w:rFonts w:ascii="Tahoma" w:hAnsi="Tahoma" w:cs="Tahoma"/>
          <w:color w:val="000000"/>
          <w:kern w:val="0"/>
        </w:rPr>
        <w:t>xposiciones en los meses de junio y diciembre de 202</w:t>
      </w:r>
      <w:r>
        <w:rPr>
          <w:rFonts w:ascii="Tahoma" w:hAnsi="Tahoma" w:cs="Tahoma"/>
          <w:color w:val="000000"/>
          <w:kern w:val="0"/>
        </w:rPr>
        <w:t>5</w:t>
      </w:r>
      <w:r w:rsidRPr="00FF7433">
        <w:rPr>
          <w:rFonts w:ascii="Tahoma" w:hAnsi="Tahoma" w:cs="Tahoma"/>
          <w:color w:val="000000"/>
          <w:kern w:val="0"/>
        </w:rPr>
        <w:t xml:space="preserve"> por categorías de</w:t>
      </w:r>
      <w:r>
        <w:rPr>
          <w:rFonts w:ascii="Tahoma" w:hAnsi="Tahoma" w:cs="Tahoma"/>
          <w:color w:val="000000"/>
          <w:kern w:val="0"/>
        </w:rPr>
        <w:t xml:space="preserve"> </w:t>
      </w:r>
      <w:r w:rsidRPr="00FF7433">
        <w:rPr>
          <w:rFonts w:ascii="Tahoma" w:hAnsi="Tahoma" w:cs="Tahoma"/>
          <w:color w:val="000000"/>
          <w:kern w:val="0"/>
        </w:rPr>
        <w:t>exposición.</w:t>
      </w:r>
    </w:p>
    <w:p w14:paraId="1A13BAAC" w14:textId="77777777" w:rsidR="00C36168" w:rsidRDefault="00C36168" w:rsidP="00C36168">
      <w:pPr>
        <w:autoSpaceDE w:val="0"/>
        <w:autoSpaceDN w:val="0"/>
        <w:adjustRightInd w:val="0"/>
        <w:spacing w:after="0" w:line="240" w:lineRule="auto"/>
        <w:jc w:val="both"/>
        <w:rPr>
          <w:rFonts w:ascii="Tahoma" w:hAnsi="Tahoma" w:cs="Tahoma"/>
          <w:color w:val="000000"/>
          <w:kern w:val="0"/>
        </w:rPr>
      </w:pPr>
    </w:p>
    <w:p w14:paraId="01ED218B" w14:textId="77777777" w:rsidR="00C36168" w:rsidRDefault="00C36168" w:rsidP="00C36168">
      <w:pPr>
        <w:autoSpaceDE w:val="0"/>
        <w:autoSpaceDN w:val="0"/>
        <w:adjustRightInd w:val="0"/>
        <w:spacing w:after="0" w:line="240" w:lineRule="auto"/>
        <w:jc w:val="both"/>
        <w:rPr>
          <w:rFonts w:ascii="Tahoma" w:hAnsi="Tahoma" w:cs="Tahoma"/>
          <w:color w:val="000000"/>
          <w:kern w:val="0"/>
        </w:rPr>
      </w:pPr>
    </w:p>
    <w:tbl>
      <w:tblPr>
        <w:tblW w:w="8120" w:type="dxa"/>
        <w:tblCellMar>
          <w:left w:w="70" w:type="dxa"/>
          <w:right w:w="70" w:type="dxa"/>
        </w:tblCellMar>
        <w:tblLook w:val="04A0" w:firstRow="1" w:lastRow="0" w:firstColumn="1" w:lastColumn="0" w:noHBand="0" w:noVBand="1"/>
      </w:tblPr>
      <w:tblGrid>
        <w:gridCol w:w="1370"/>
        <w:gridCol w:w="1156"/>
        <w:gridCol w:w="1156"/>
        <w:gridCol w:w="1156"/>
        <w:gridCol w:w="1200"/>
        <w:gridCol w:w="1120"/>
        <w:gridCol w:w="1120"/>
      </w:tblGrid>
      <w:tr w:rsidR="00C36168" w:rsidRPr="00D870A6" w14:paraId="74B03C49" w14:textId="77777777" w:rsidTr="00F65AAC">
        <w:trPr>
          <w:trHeight w:val="885"/>
        </w:trPr>
        <w:tc>
          <w:tcPr>
            <w:tcW w:w="1320" w:type="dxa"/>
            <w:tcBorders>
              <w:top w:val="nil"/>
              <w:left w:val="nil"/>
              <w:bottom w:val="double" w:sz="6" w:space="0" w:color="auto"/>
              <w:right w:val="nil"/>
            </w:tcBorders>
            <w:noWrap/>
            <w:vAlign w:val="bottom"/>
            <w:hideMark/>
          </w:tcPr>
          <w:p w14:paraId="012C88CC" w14:textId="77777777" w:rsidR="00C36168" w:rsidRPr="00D870A6" w:rsidRDefault="00C36168" w:rsidP="00F65AAC">
            <w:pPr>
              <w:spacing w:after="0" w:line="240" w:lineRule="auto"/>
              <w:rPr>
                <w:rFonts w:ascii="Tahoma" w:eastAsia="Times New Roman" w:hAnsi="Tahoma" w:cs="Tahoma"/>
                <w:color w:val="000000"/>
                <w:kern w:val="0"/>
                <w:lang w:eastAsia="es-ES"/>
                <w14:ligatures w14:val="none"/>
              </w:rPr>
            </w:pPr>
            <w:r w:rsidRPr="00D870A6">
              <w:rPr>
                <w:rFonts w:ascii="Tahoma" w:eastAsia="Times New Roman" w:hAnsi="Tahoma" w:cs="Tahoma"/>
                <w:color w:val="000000"/>
                <w:kern w:val="0"/>
                <w:lang w:eastAsia="es-ES"/>
                <w14:ligatures w14:val="none"/>
              </w:rPr>
              <w:t>Exposiciones</w:t>
            </w:r>
          </w:p>
        </w:tc>
        <w:tc>
          <w:tcPr>
            <w:tcW w:w="1120" w:type="dxa"/>
            <w:tcBorders>
              <w:top w:val="nil"/>
              <w:left w:val="nil"/>
              <w:bottom w:val="double" w:sz="6" w:space="0" w:color="auto"/>
              <w:right w:val="nil"/>
            </w:tcBorders>
            <w:vAlign w:val="center"/>
            <w:hideMark/>
          </w:tcPr>
          <w:p w14:paraId="2488AF8A" w14:textId="77777777" w:rsidR="00C36168" w:rsidRPr="00D870A6" w:rsidRDefault="00C36168" w:rsidP="00F65AAC">
            <w:pPr>
              <w:spacing w:after="0" w:line="240" w:lineRule="auto"/>
              <w:jc w:val="center"/>
              <w:rPr>
                <w:rFonts w:ascii="Tahoma" w:eastAsia="Times New Roman" w:hAnsi="Tahoma" w:cs="Tahoma"/>
                <w:color w:val="000000"/>
                <w:kern w:val="0"/>
                <w:lang w:eastAsia="es-ES"/>
                <w14:ligatures w14:val="none"/>
              </w:rPr>
            </w:pPr>
            <w:r w:rsidRPr="00D870A6">
              <w:rPr>
                <w:rFonts w:ascii="Tahoma" w:eastAsia="Times New Roman" w:hAnsi="Tahoma" w:cs="Tahoma"/>
                <w:color w:val="000000"/>
                <w:kern w:val="0"/>
                <w:lang w:eastAsia="es-ES"/>
                <w14:ligatures w14:val="none"/>
              </w:rPr>
              <w:t>Exposición 30/06/2</w:t>
            </w:r>
            <w:r>
              <w:rPr>
                <w:rFonts w:ascii="Tahoma" w:eastAsia="Times New Roman" w:hAnsi="Tahoma" w:cs="Tahoma"/>
                <w:color w:val="000000"/>
                <w:kern w:val="0"/>
                <w:lang w:eastAsia="es-ES"/>
                <w14:ligatures w14:val="none"/>
              </w:rPr>
              <w:t>5</w:t>
            </w:r>
          </w:p>
        </w:tc>
        <w:tc>
          <w:tcPr>
            <w:tcW w:w="1120" w:type="dxa"/>
            <w:tcBorders>
              <w:top w:val="nil"/>
              <w:left w:val="nil"/>
              <w:bottom w:val="double" w:sz="6" w:space="0" w:color="auto"/>
              <w:right w:val="nil"/>
            </w:tcBorders>
            <w:vAlign w:val="center"/>
            <w:hideMark/>
          </w:tcPr>
          <w:p w14:paraId="2AC2F8CD" w14:textId="77777777" w:rsidR="00C36168" w:rsidRPr="00D870A6" w:rsidRDefault="00C36168" w:rsidP="00F65AAC">
            <w:pPr>
              <w:spacing w:after="0" w:line="240" w:lineRule="auto"/>
              <w:jc w:val="center"/>
              <w:rPr>
                <w:rFonts w:ascii="Tahoma" w:eastAsia="Times New Roman" w:hAnsi="Tahoma" w:cs="Tahoma"/>
                <w:color w:val="000000"/>
                <w:kern w:val="0"/>
                <w:lang w:eastAsia="es-ES"/>
                <w14:ligatures w14:val="none"/>
              </w:rPr>
            </w:pPr>
            <w:r w:rsidRPr="00D870A6">
              <w:rPr>
                <w:rFonts w:ascii="Tahoma" w:eastAsia="Times New Roman" w:hAnsi="Tahoma" w:cs="Tahoma"/>
                <w:color w:val="000000"/>
                <w:kern w:val="0"/>
                <w:lang w:eastAsia="es-ES"/>
                <w14:ligatures w14:val="none"/>
              </w:rPr>
              <w:t>Exposición 31/12/2</w:t>
            </w:r>
            <w:r>
              <w:rPr>
                <w:rFonts w:ascii="Tahoma" w:eastAsia="Times New Roman" w:hAnsi="Tahoma" w:cs="Tahoma"/>
                <w:color w:val="000000"/>
                <w:kern w:val="0"/>
                <w:lang w:eastAsia="es-ES"/>
                <w14:ligatures w14:val="none"/>
              </w:rPr>
              <w:t>5</w:t>
            </w:r>
          </w:p>
        </w:tc>
        <w:tc>
          <w:tcPr>
            <w:tcW w:w="1120" w:type="dxa"/>
            <w:tcBorders>
              <w:top w:val="nil"/>
              <w:left w:val="nil"/>
              <w:bottom w:val="double" w:sz="6" w:space="0" w:color="auto"/>
              <w:right w:val="nil"/>
            </w:tcBorders>
            <w:vAlign w:val="center"/>
            <w:hideMark/>
          </w:tcPr>
          <w:p w14:paraId="14CF9599" w14:textId="77777777" w:rsidR="00C36168" w:rsidRPr="00D870A6" w:rsidRDefault="00C36168" w:rsidP="00F65AAC">
            <w:pPr>
              <w:spacing w:after="0" w:line="240" w:lineRule="auto"/>
              <w:jc w:val="center"/>
              <w:rPr>
                <w:rFonts w:ascii="Tahoma" w:eastAsia="Times New Roman" w:hAnsi="Tahoma" w:cs="Tahoma"/>
                <w:color w:val="000000"/>
                <w:kern w:val="0"/>
                <w:lang w:eastAsia="es-ES"/>
                <w14:ligatures w14:val="none"/>
              </w:rPr>
            </w:pPr>
            <w:r w:rsidRPr="00D870A6">
              <w:rPr>
                <w:rFonts w:ascii="Tahoma" w:eastAsia="Times New Roman" w:hAnsi="Tahoma" w:cs="Tahoma"/>
                <w:color w:val="000000"/>
                <w:kern w:val="0"/>
                <w:lang w:eastAsia="es-ES"/>
                <w14:ligatures w14:val="none"/>
              </w:rPr>
              <w:t>Valor medio Exposición</w:t>
            </w:r>
          </w:p>
        </w:tc>
        <w:tc>
          <w:tcPr>
            <w:tcW w:w="1200" w:type="dxa"/>
            <w:tcBorders>
              <w:top w:val="nil"/>
              <w:left w:val="nil"/>
              <w:bottom w:val="double" w:sz="6" w:space="0" w:color="auto"/>
              <w:right w:val="nil"/>
            </w:tcBorders>
            <w:vAlign w:val="center"/>
            <w:hideMark/>
          </w:tcPr>
          <w:p w14:paraId="7AAAC47D" w14:textId="77777777" w:rsidR="00C36168" w:rsidRPr="00D870A6" w:rsidRDefault="00C36168" w:rsidP="00F65AAC">
            <w:pPr>
              <w:spacing w:after="0" w:line="240" w:lineRule="auto"/>
              <w:jc w:val="center"/>
              <w:rPr>
                <w:rFonts w:ascii="Tahoma" w:eastAsia="Times New Roman" w:hAnsi="Tahoma" w:cs="Tahoma"/>
                <w:color w:val="000000"/>
                <w:kern w:val="0"/>
                <w:lang w:eastAsia="es-ES"/>
                <w14:ligatures w14:val="none"/>
              </w:rPr>
            </w:pPr>
            <w:r w:rsidRPr="00D870A6">
              <w:rPr>
                <w:rFonts w:ascii="Tahoma" w:eastAsia="Times New Roman" w:hAnsi="Tahoma" w:cs="Tahoma"/>
                <w:color w:val="000000"/>
                <w:kern w:val="0"/>
                <w:lang w:eastAsia="es-ES"/>
                <w14:ligatures w14:val="none"/>
              </w:rPr>
              <w:t>Valor ajustado 30/06/2</w:t>
            </w:r>
            <w:r>
              <w:rPr>
                <w:rFonts w:ascii="Tahoma" w:eastAsia="Times New Roman" w:hAnsi="Tahoma" w:cs="Tahoma"/>
                <w:color w:val="000000"/>
                <w:kern w:val="0"/>
                <w:lang w:eastAsia="es-ES"/>
                <w14:ligatures w14:val="none"/>
              </w:rPr>
              <w:t>5</w:t>
            </w:r>
          </w:p>
        </w:tc>
        <w:tc>
          <w:tcPr>
            <w:tcW w:w="1120" w:type="dxa"/>
            <w:tcBorders>
              <w:top w:val="nil"/>
              <w:left w:val="nil"/>
              <w:bottom w:val="double" w:sz="6" w:space="0" w:color="auto"/>
              <w:right w:val="nil"/>
            </w:tcBorders>
            <w:vAlign w:val="center"/>
            <w:hideMark/>
          </w:tcPr>
          <w:p w14:paraId="0440F6EC" w14:textId="77777777" w:rsidR="00C36168" w:rsidRPr="00D870A6" w:rsidRDefault="00C36168" w:rsidP="00F65AAC">
            <w:pPr>
              <w:spacing w:after="0" w:line="240" w:lineRule="auto"/>
              <w:jc w:val="center"/>
              <w:rPr>
                <w:rFonts w:ascii="Tahoma" w:eastAsia="Times New Roman" w:hAnsi="Tahoma" w:cs="Tahoma"/>
                <w:color w:val="000000"/>
                <w:kern w:val="0"/>
                <w:lang w:eastAsia="es-ES"/>
                <w14:ligatures w14:val="none"/>
              </w:rPr>
            </w:pPr>
            <w:r w:rsidRPr="00D870A6">
              <w:rPr>
                <w:rFonts w:ascii="Tahoma" w:eastAsia="Times New Roman" w:hAnsi="Tahoma" w:cs="Tahoma"/>
                <w:color w:val="000000"/>
                <w:kern w:val="0"/>
                <w:lang w:eastAsia="es-ES"/>
                <w14:ligatures w14:val="none"/>
              </w:rPr>
              <w:t>Valor ajustado 31/12/2</w:t>
            </w:r>
            <w:r>
              <w:rPr>
                <w:rFonts w:ascii="Tahoma" w:eastAsia="Times New Roman" w:hAnsi="Tahoma" w:cs="Tahoma"/>
                <w:color w:val="000000"/>
                <w:kern w:val="0"/>
                <w:lang w:eastAsia="es-ES"/>
                <w14:ligatures w14:val="none"/>
              </w:rPr>
              <w:t>5</w:t>
            </w:r>
          </w:p>
        </w:tc>
        <w:tc>
          <w:tcPr>
            <w:tcW w:w="1120" w:type="dxa"/>
            <w:tcBorders>
              <w:top w:val="nil"/>
              <w:left w:val="nil"/>
              <w:bottom w:val="double" w:sz="6" w:space="0" w:color="auto"/>
              <w:right w:val="nil"/>
            </w:tcBorders>
            <w:vAlign w:val="center"/>
            <w:hideMark/>
          </w:tcPr>
          <w:p w14:paraId="4B4D6F36" w14:textId="77777777" w:rsidR="00C36168" w:rsidRPr="00D870A6" w:rsidRDefault="00C36168" w:rsidP="00F65AAC">
            <w:pPr>
              <w:spacing w:after="0" w:line="240" w:lineRule="auto"/>
              <w:jc w:val="center"/>
              <w:rPr>
                <w:rFonts w:ascii="Tahoma" w:eastAsia="Times New Roman" w:hAnsi="Tahoma" w:cs="Tahoma"/>
                <w:color w:val="000000"/>
                <w:kern w:val="0"/>
                <w:lang w:eastAsia="es-ES"/>
                <w14:ligatures w14:val="none"/>
              </w:rPr>
            </w:pPr>
            <w:r w:rsidRPr="00D870A6">
              <w:rPr>
                <w:rFonts w:ascii="Tahoma" w:eastAsia="Times New Roman" w:hAnsi="Tahoma" w:cs="Tahoma"/>
                <w:color w:val="000000"/>
                <w:kern w:val="0"/>
                <w:lang w:eastAsia="es-ES"/>
                <w14:ligatures w14:val="none"/>
              </w:rPr>
              <w:t>Valor medio Ajustado</w:t>
            </w:r>
          </w:p>
        </w:tc>
      </w:tr>
      <w:tr w:rsidR="00C36168" w:rsidRPr="00D870A6" w14:paraId="1DDC7233" w14:textId="77777777" w:rsidTr="00F65AAC">
        <w:trPr>
          <w:trHeight w:val="300"/>
        </w:trPr>
        <w:tc>
          <w:tcPr>
            <w:tcW w:w="1320" w:type="dxa"/>
            <w:tcBorders>
              <w:top w:val="nil"/>
              <w:left w:val="nil"/>
              <w:bottom w:val="nil"/>
              <w:right w:val="nil"/>
            </w:tcBorders>
            <w:noWrap/>
            <w:vAlign w:val="bottom"/>
            <w:hideMark/>
          </w:tcPr>
          <w:p w14:paraId="2805BC46" w14:textId="77777777" w:rsidR="00C36168" w:rsidRPr="00D870A6" w:rsidRDefault="00C36168" w:rsidP="00F65AAC">
            <w:pPr>
              <w:spacing w:after="0" w:line="240" w:lineRule="auto"/>
              <w:rPr>
                <w:rFonts w:ascii="Tahoma" w:eastAsia="Times New Roman" w:hAnsi="Tahoma" w:cs="Tahoma"/>
                <w:color w:val="000000"/>
                <w:kern w:val="0"/>
                <w:lang w:eastAsia="es-ES"/>
                <w14:ligatures w14:val="none"/>
              </w:rPr>
            </w:pPr>
            <w:r w:rsidRPr="00D870A6">
              <w:rPr>
                <w:rFonts w:ascii="Tahoma" w:eastAsia="Times New Roman" w:hAnsi="Tahoma" w:cs="Tahoma"/>
                <w:color w:val="000000"/>
                <w:kern w:val="0"/>
                <w:lang w:eastAsia="es-ES"/>
                <w14:ligatures w14:val="none"/>
              </w:rPr>
              <w:t>Entidades</w:t>
            </w:r>
          </w:p>
        </w:tc>
        <w:tc>
          <w:tcPr>
            <w:tcW w:w="1120" w:type="dxa"/>
            <w:tcBorders>
              <w:top w:val="nil"/>
              <w:left w:val="nil"/>
              <w:bottom w:val="nil"/>
              <w:right w:val="nil"/>
            </w:tcBorders>
            <w:noWrap/>
            <w:vAlign w:val="bottom"/>
            <w:hideMark/>
          </w:tcPr>
          <w:p w14:paraId="7F1497BA" w14:textId="77777777" w:rsidR="00C36168" w:rsidRPr="00D870A6" w:rsidRDefault="00C36168" w:rsidP="00F65AAC">
            <w:pPr>
              <w:spacing w:after="0" w:line="240" w:lineRule="auto"/>
              <w:jc w:val="right"/>
              <w:rPr>
                <w:rFonts w:ascii="Tahoma" w:eastAsia="Times New Roman" w:hAnsi="Tahoma" w:cs="Tahoma"/>
                <w:color w:val="000000"/>
                <w:kern w:val="0"/>
                <w:lang w:eastAsia="es-ES"/>
                <w14:ligatures w14:val="none"/>
              </w:rPr>
            </w:pPr>
            <w:r>
              <w:rPr>
                <w:rFonts w:ascii="Tahoma" w:eastAsia="Times New Roman" w:hAnsi="Tahoma" w:cs="Tahoma"/>
                <w:color w:val="000000"/>
                <w:kern w:val="0"/>
                <w:lang w:eastAsia="es-ES"/>
                <w14:ligatures w14:val="none"/>
              </w:rPr>
              <w:t>650</w:t>
            </w:r>
          </w:p>
        </w:tc>
        <w:tc>
          <w:tcPr>
            <w:tcW w:w="1120" w:type="dxa"/>
            <w:tcBorders>
              <w:top w:val="nil"/>
              <w:left w:val="nil"/>
              <w:bottom w:val="nil"/>
              <w:right w:val="nil"/>
            </w:tcBorders>
            <w:noWrap/>
            <w:vAlign w:val="bottom"/>
            <w:hideMark/>
          </w:tcPr>
          <w:p w14:paraId="540DB3A7" w14:textId="77777777" w:rsidR="00C36168" w:rsidRPr="00D870A6" w:rsidRDefault="00C36168" w:rsidP="00F65AAC">
            <w:pPr>
              <w:spacing w:after="0" w:line="240" w:lineRule="auto"/>
              <w:jc w:val="right"/>
              <w:rPr>
                <w:rFonts w:ascii="Tahoma" w:eastAsia="Times New Roman" w:hAnsi="Tahoma" w:cs="Tahoma"/>
                <w:color w:val="000000"/>
                <w:kern w:val="0"/>
                <w:lang w:eastAsia="es-ES"/>
                <w14:ligatures w14:val="none"/>
              </w:rPr>
            </w:pPr>
            <w:r>
              <w:rPr>
                <w:rFonts w:ascii="Tahoma" w:eastAsia="Times New Roman" w:hAnsi="Tahoma" w:cs="Tahoma"/>
                <w:color w:val="000000"/>
                <w:kern w:val="0"/>
                <w:lang w:eastAsia="es-ES"/>
                <w14:ligatures w14:val="none"/>
              </w:rPr>
              <w:t>5.965</w:t>
            </w:r>
          </w:p>
        </w:tc>
        <w:tc>
          <w:tcPr>
            <w:tcW w:w="1120" w:type="dxa"/>
            <w:tcBorders>
              <w:top w:val="nil"/>
              <w:left w:val="nil"/>
              <w:bottom w:val="nil"/>
              <w:right w:val="nil"/>
            </w:tcBorders>
            <w:noWrap/>
            <w:vAlign w:val="bottom"/>
            <w:hideMark/>
          </w:tcPr>
          <w:p w14:paraId="2CB1FBE4" w14:textId="77777777" w:rsidR="00C36168" w:rsidRPr="00D870A6" w:rsidRDefault="00C36168" w:rsidP="00F65AAC">
            <w:pPr>
              <w:spacing w:after="0" w:line="240" w:lineRule="auto"/>
              <w:jc w:val="right"/>
              <w:rPr>
                <w:rFonts w:ascii="Tahoma" w:eastAsia="Times New Roman" w:hAnsi="Tahoma" w:cs="Tahoma"/>
                <w:color w:val="000000"/>
                <w:kern w:val="0"/>
                <w:lang w:eastAsia="es-ES"/>
                <w14:ligatures w14:val="none"/>
              </w:rPr>
            </w:pPr>
            <w:r>
              <w:rPr>
                <w:rFonts w:ascii="Tahoma" w:eastAsia="Times New Roman" w:hAnsi="Tahoma" w:cs="Tahoma"/>
                <w:color w:val="000000"/>
                <w:kern w:val="0"/>
                <w:lang w:eastAsia="es-ES"/>
                <w14:ligatures w14:val="none"/>
              </w:rPr>
              <w:t>3.308</w:t>
            </w:r>
          </w:p>
        </w:tc>
        <w:tc>
          <w:tcPr>
            <w:tcW w:w="1200" w:type="dxa"/>
            <w:tcBorders>
              <w:top w:val="nil"/>
              <w:left w:val="nil"/>
              <w:bottom w:val="nil"/>
              <w:right w:val="nil"/>
            </w:tcBorders>
            <w:noWrap/>
            <w:vAlign w:val="bottom"/>
            <w:hideMark/>
          </w:tcPr>
          <w:p w14:paraId="431914B9" w14:textId="77777777" w:rsidR="00C36168" w:rsidRPr="00D870A6" w:rsidRDefault="00C36168" w:rsidP="00F65AAC">
            <w:pPr>
              <w:spacing w:after="0" w:line="240" w:lineRule="auto"/>
              <w:jc w:val="right"/>
              <w:rPr>
                <w:rFonts w:ascii="Tahoma" w:eastAsia="Times New Roman" w:hAnsi="Tahoma" w:cs="Tahoma"/>
                <w:color w:val="000000"/>
                <w:kern w:val="0"/>
                <w:lang w:eastAsia="es-ES"/>
                <w14:ligatures w14:val="none"/>
              </w:rPr>
            </w:pPr>
            <w:r>
              <w:rPr>
                <w:rFonts w:ascii="Tahoma" w:eastAsia="Times New Roman" w:hAnsi="Tahoma" w:cs="Tahoma"/>
                <w:color w:val="000000"/>
                <w:kern w:val="0"/>
                <w:lang w:eastAsia="es-ES"/>
                <w14:ligatures w14:val="none"/>
              </w:rPr>
              <w:t>650</w:t>
            </w:r>
          </w:p>
        </w:tc>
        <w:tc>
          <w:tcPr>
            <w:tcW w:w="1120" w:type="dxa"/>
            <w:tcBorders>
              <w:top w:val="nil"/>
              <w:left w:val="nil"/>
              <w:bottom w:val="nil"/>
              <w:right w:val="nil"/>
            </w:tcBorders>
            <w:noWrap/>
            <w:vAlign w:val="bottom"/>
            <w:hideMark/>
          </w:tcPr>
          <w:p w14:paraId="343CCE35" w14:textId="77777777" w:rsidR="00C36168" w:rsidRPr="00D870A6" w:rsidRDefault="00C36168" w:rsidP="00F65AAC">
            <w:pPr>
              <w:spacing w:after="0" w:line="240" w:lineRule="auto"/>
              <w:jc w:val="right"/>
              <w:rPr>
                <w:rFonts w:ascii="Tahoma" w:eastAsia="Times New Roman" w:hAnsi="Tahoma" w:cs="Tahoma"/>
                <w:color w:val="000000"/>
                <w:kern w:val="0"/>
                <w:lang w:eastAsia="es-ES"/>
                <w14:ligatures w14:val="none"/>
              </w:rPr>
            </w:pPr>
            <w:r>
              <w:rPr>
                <w:rFonts w:ascii="Tahoma" w:eastAsia="Times New Roman" w:hAnsi="Tahoma" w:cs="Tahoma"/>
                <w:color w:val="000000"/>
                <w:kern w:val="0"/>
                <w:lang w:eastAsia="es-ES"/>
                <w14:ligatures w14:val="none"/>
              </w:rPr>
              <w:t>5.965</w:t>
            </w:r>
          </w:p>
        </w:tc>
        <w:tc>
          <w:tcPr>
            <w:tcW w:w="1120" w:type="dxa"/>
            <w:tcBorders>
              <w:top w:val="nil"/>
              <w:left w:val="nil"/>
              <w:bottom w:val="nil"/>
              <w:right w:val="nil"/>
            </w:tcBorders>
            <w:noWrap/>
            <w:vAlign w:val="bottom"/>
            <w:hideMark/>
          </w:tcPr>
          <w:p w14:paraId="1BBF884B" w14:textId="77777777" w:rsidR="00C36168" w:rsidRPr="00D870A6" w:rsidRDefault="00C36168" w:rsidP="00F65AAC">
            <w:pPr>
              <w:spacing w:after="0" w:line="240" w:lineRule="auto"/>
              <w:jc w:val="right"/>
              <w:rPr>
                <w:rFonts w:ascii="Tahoma" w:eastAsia="Times New Roman" w:hAnsi="Tahoma" w:cs="Tahoma"/>
                <w:color w:val="000000"/>
                <w:kern w:val="0"/>
                <w:lang w:eastAsia="es-ES"/>
                <w14:ligatures w14:val="none"/>
              </w:rPr>
            </w:pPr>
            <w:r>
              <w:rPr>
                <w:rFonts w:ascii="Tahoma" w:eastAsia="Times New Roman" w:hAnsi="Tahoma" w:cs="Tahoma"/>
                <w:color w:val="000000"/>
                <w:kern w:val="0"/>
                <w:lang w:eastAsia="es-ES"/>
                <w14:ligatures w14:val="none"/>
              </w:rPr>
              <w:t>3.308</w:t>
            </w:r>
          </w:p>
        </w:tc>
      </w:tr>
      <w:tr w:rsidR="00C36168" w:rsidRPr="00D870A6" w14:paraId="3B2CDC09" w14:textId="77777777" w:rsidTr="00F65AAC">
        <w:trPr>
          <w:trHeight w:val="300"/>
        </w:trPr>
        <w:tc>
          <w:tcPr>
            <w:tcW w:w="1320" w:type="dxa"/>
            <w:tcBorders>
              <w:top w:val="nil"/>
              <w:left w:val="nil"/>
              <w:bottom w:val="nil"/>
              <w:right w:val="nil"/>
            </w:tcBorders>
            <w:noWrap/>
            <w:vAlign w:val="bottom"/>
            <w:hideMark/>
          </w:tcPr>
          <w:p w14:paraId="2D15D6E9" w14:textId="77777777" w:rsidR="00C36168" w:rsidRPr="00D870A6" w:rsidRDefault="00C36168" w:rsidP="00F65AAC">
            <w:pPr>
              <w:spacing w:after="0" w:line="240" w:lineRule="auto"/>
              <w:rPr>
                <w:rFonts w:ascii="Tahoma" w:eastAsia="Times New Roman" w:hAnsi="Tahoma" w:cs="Tahoma"/>
                <w:color w:val="000000"/>
                <w:kern w:val="0"/>
                <w:lang w:eastAsia="es-ES"/>
                <w14:ligatures w14:val="none"/>
              </w:rPr>
            </w:pPr>
            <w:r w:rsidRPr="00D870A6">
              <w:rPr>
                <w:rFonts w:ascii="Tahoma" w:eastAsia="Times New Roman" w:hAnsi="Tahoma" w:cs="Tahoma"/>
                <w:color w:val="000000"/>
                <w:kern w:val="0"/>
                <w:lang w:eastAsia="es-ES"/>
                <w14:ligatures w14:val="none"/>
              </w:rPr>
              <w:t>Empresas</w:t>
            </w:r>
          </w:p>
        </w:tc>
        <w:tc>
          <w:tcPr>
            <w:tcW w:w="1120" w:type="dxa"/>
            <w:tcBorders>
              <w:top w:val="nil"/>
              <w:left w:val="nil"/>
              <w:bottom w:val="nil"/>
              <w:right w:val="nil"/>
            </w:tcBorders>
            <w:noWrap/>
            <w:vAlign w:val="bottom"/>
            <w:hideMark/>
          </w:tcPr>
          <w:p w14:paraId="39E26DF4" w14:textId="77777777" w:rsidR="00C36168" w:rsidRPr="00D870A6" w:rsidRDefault="00C36168" w:rsidP="00F65AAC">
            <w:pPr>
              <w:spacing w:after="0" w:line="240" w:lineRule="auto"/>
              <w:jc w:val="right"/>
              <w:rPr>
                <w:rFonts w:ascii="Tahoma" w:eastAsia="Times New Roman" w:hAnsi="Tahoma" w:cs="Tahoma"/>
                <w:color w:val="000000"/>
                <w:kern w:val="0"/>
                <w:lang w:eastAsia="es-ES"/>
                <w14:ligatures w14:val="none"/>
              </w:rPr>
            </w:pPr>
            <w:r>
              <w:rPr>
                <w:rFonts w:ascii="Tahoma" w:eastAsia="Times New Roman" w:hAnsi="Tahoma" w:cs="Tahoma"/>
                <w:color w:val="000000"/>
                <w:kern w:val="0"/>
                <w:lang w:eastAsia="es-ES"/>
                <w14:ligatures w14:val="none"/>
              </w:rPr>
              <w:t>0</w:t>
            </w:r>
          </w:p>
        </w:tc>
        <w:tc>
          <w:tcPr>
            <w:tcW w:w="1120" w:type="dxa"/>
            <w:tcBorders>
              <w:top w:val="nil"/>
              <w:left w:val="nil"/>
              <w:bottom w:val="nil"/>
              <w:right w:val="nil"/>
            </w:tcBorders>
            <w:noWrap/>
            <w:vAlign w:val="bottom"/>
            <w:hideMark/>
          </w:tcPr>
          <w:p w14:paraId="3EA10428" w14:textId="77777777" w:rsidR="00C36168" w:rsidRPr="00D870A6" w:rsidRDefault="00C36168" w:rsidP="00F65AAC">
            <w:pPr>
              <w:spacing w:after="0" w:line="240" w:lineRule="auto"/>
              <w:jc w:val="right"/>
              <w:rPr>
                <w:rFonts w:ascii="Tahoma" w:eastAsia="Times New Roman" w:hAnsi="Tahoma" w:cs="Tahoma"/>
                <w:color w:val="000000"/>
                <w:kern w:val="0"/>
                <w:lang w:eastAsia="es-ES"/>
                <w14:ligatures w14:val="none"/>
              </w:rPr>
            </w:pPr>
            <w:r>
              <w:rPr>
                <w:rFonts w:ascii="Tahoma" w:eastAsia="Times New Roman" w:hAnsi="Tahoma" w:cs="Tahoma"/>
                <w:color w:val="000000"/>
                <w:kern w:val="0"/>
                <w:lang w:eastAsia="es-ES"/>
                <w14:ligatures w14:val="none"/>
              </w:rPr>
              <w:t>0</w:t>
            </w:r>
          </w:p>
        </w:tc>
        <w:tc>
          <w:tcPr>
            <w:tcW w:w="1120" w:type="dxa"/>
            <w:tcBorders>
              <w:top w:val="nil"/>
              <w:left w:val="nil"/>
              <w:bottom w:val="nil"/>
              <w:right w:val="nil"/>
            </w:tcBorders>
            <w:noWrap/>
            <w:vAlign w:val="bottom"/>
            <w:hideMark/>
          </w:tcPr>
          <w:p w14:paraId="42293631" w14:textId="77777777" w:rsidR="00C36168" w:rsidRPr="00D870A6" w:rsidRDefault="00C36168" w:rsidP="00F65AAC">
            <w:pPr>
              <w:spacing w:after="0" w:line="240" w:lineRule="auto"/>
              <w:jc w:val="right"/>
              <w:rPr>
                <w:rFonts w:ascii="Tahoma" w:eastAsia="Times New Roman" w:hAnsi="Tahoma" w:cs="Tahoma"/>
                <w:color w:val="000000"/>
                <w:kern w:val="0"/>
                <w:lang w:eastAsia="es-ES"/>
                <w14:ligatures w14:val="none"/>
              </w:rPr>
            </w:pPr>
            <w:r>
              <w:rPr>
                <w:rFonts w:ascii="Tahoma" w:eastAsia="Times New Roman" w:hAnsi="Tahoma" w:cs="Tahoma"/>
                <w:color w:val="000000"/>
                <w:kern w:val="0"/>
                <w:lang w:eastAsia="es-ES"/>
                <w14:ligatures w14:val="none"/>
              </w:rPr>
              <w:t>0</w:t>
            </w:r>
          </w:p>
        </w:tc>
        <w:tc>
          <w:tcPr>
            <w:tcW w:w="1200" w:type="dxa"/>
            <w:tcBorders>
              <w:top w:val="nil"/>
              <w:left w:val="nil"/>
              <w:bottom w:val="nil"/>
              <w:right w:val="nil"/>
            </w:tcBorders>
            <w:noWrap/>
            <w:vAlign w:val="bottom"/>
            <w:hideMark/>
          </w:tcPr>
          <w:p w14:paraId="4210D077" w14:textId="77777777" w:rsidR="00C36168" w:rsidRPr="00D870A6" w:rsidRDefault="00C36168" w:rsidP="00F65AAC">
            <w:pPr>
              <w:spacing w:after="0" w:line="240" w:lineRule="auto"/>
              <w:jc w:val="right"/>
              <w:rPr>
                <w:rFonts w:ascii="Tahoma" w:eastAsia="Times New Roman" w:hAnsi="Tahoma" w:cs="Tahoma"/>
                <w:color w:val="000000"/>
                <w:kern w:val="0"/>
                <w:lang w:eastAsia="es-ES"/>
                <w14:ligatures w14:val="none"/>
              </w:rPr>
            </w:pPr>
            <w:r>
              <w:rPr>
                <w:rFonts w:ascii="Tahoma" w:eastAsia="Times New Roman" w:hAnsi="Tahoma" w:cs="Tahoma"/>
                <w:color w:val="000000"/>
                <w:kern w:val="0"/>
                <w:lang w:eastAsia="es-ES"/>
                <w14:ligatures w14:val="none"/>
              </w:rPr>
              <w:t>0</w:t>
            </w:r>
          </w:p>
        </w:tc>
        <w:tc>
          <w:tcPr>
            <w:tcW w:w="1120" w:type="dxa"/>
            <w:tcBorders>
              <w:top w:val="nil"/>
              <w:left w:val="nil"/>
              <w:bottom w:val="nil"/>
              <w:right w:val="nil"/>
            </w:tcBorders>
            <w:noWrap/>
            <w:vAlign w:val="bottom"/>
            <w:hideMark/>
          </w:tcPr>
          <w:p w14:paraId="1A1A36D4" w14:textId="77777777" w:rsidR="00C36168" w:rsidRPr="00D870A6" w:rsidRDefault="00C36168" w:rsidP="00F65AAC">
            <w:pPr>
              <w:spacing w:after="0" w:line="240" w:lineRule="auto"/>
              <w:jc w:val="right"/>
              <w:rPr>
                <w:rFonts w:ascii="Tahoma" w:eastAsia="Times New Roman" w:hAnsi="Tahoma" w:cs="Tahoma"/>
                <w:color w:val="000000"/>
                <w:kern w:val="0"/>
                <w:lang w:eastAsia="es-ES"/>
                <w14:ligatures w14:val="none"/>
              </w:rPr>
            </w:pPr>
            <w:r>
              <w:rPr>
                <w:rFonts w:ascii="Tahoma" w:eastAsia="Times New Roman" w:hAnsi="Tahoma" w:cs="Tahoma"/>
                <w:color w:val="000000"/>
                <w:kern w:val="0"/>
                <w:lang w:eastAsia="es-ES"/>
                <w14:ligatures w14:val="none"/>
              </w:rPr>
              <w:t>0</w:t>
            </w:r>
          </w:p>
        </w:tc>
        <w:tc>
          <w:tcPr>
            <w:tcW w:w="1120" w:type="dxa"/>
            <w:tcBorders>
              <w:top w:val="nil"/>
              <w:left w:val="nil"/>
              <w:bottom w:val="nil"/>
              <w:right w:val="nil"/>
            </w:tcBorders>
            <w:noWrap/>
            <w:vAlign w:val="bottom"/>
            <w:hideMark/>
          </w:tcPr>
          <w:p w14:paraId="7AB6356F" w14:textId="77777777" w:rsidR="00C36168" w:rsidRPr="00D870A6" w:rsidRDefault="00C36168" w:rsidP="00F65AAC">
            <w:pPr>
              <w:spacing w:after="0" w:line="240" w:lineRule="auto"/>
              <w:jc w:val="right"/>
              <w:rPr>
                <w:rFonts w:ascii="Tahoma" w:eastAsia="Times New Roman" w:hAnsi="Tahoma" w:cs="Tahoma"/>
                <w:color w:val="000000"/>
                <w:kern w:val="0"/>
                <w:lang w:eastAsia="es-ES"/>
                <w14:ligatures w14:val="none"/>
              </w:rPr>
            </w:pPr>
            <w:r>
              <w:rPr>
                <w:rFonts w:ascii="Tahoma" w:eastAsia="Times New Roman" w:hAnsi="Tahoma" w:cs="Tahoma"/>
                <w:color w:val="000000"/>
                <w:kern w:val="0"/>
                <w:lang w:eastAsia="es-ES"/>
                <w14:ligatures w14:val="none"/>
              </w:rPr>
              <w:t>0</w:t>
            </w:r>
          </w:p>
        </w:tc>
      </w:tr>
      <w:tr w:rsidR="00C36168" w:rsidRPr="00D870A6" w14:paraId="3EF4AD78" w14:textId="77777777" w:rsidTr="00F65AAC">
        <w:trPr>
          <w:trHeight w:val="300"/>
        </w:trPr>
        <w:tc>
          <w:tcPr>
            <w:tcW w:w="1320" w:type="dxa"/>
            <w:tcBorders>
              <w:top w:val="nil"/>
              <w:left w:val="nil"/>
              <w:bottom w:val="nil"/>
              <w:right w:val="nil"/>
            </w:tcBorders>
            <w:noWrap/>
            <w:vAlign w:val="bottom"/>
            <w:hideMark/>
          </w:tcPr>
          <w:p w14:paraId="430210B9" w14:textId="77777777" w:rsidR="00C36168" w:rsidRPr="00D870A6" w:rsidRDefault="00C36168" w:rsidP="00F65AAC">
            <w:pPr>
              <w:spacing w:after="0" w:line="240" w:lineRule="auto"/>
              <w:rPr>
                <w:rFonts w:ascii="Tahoma" w:eastAsia="Times New Roman" w:hAnsi="Tahoma" w:cs="Tahoma"/>
                <w:color w:val="000000"/>
                <w:kern w:val="0"/>
                <w:lang w:eastAsia="es-ES"/>
                <w14:ligatures w14:val="none"/>
              </w:rPr>
            </w:pPr>
            <w:r w:rsidRPr="00D870A6">
              <w:rPr>
                <w:rFonts w:ascii="Tahoma" w:eastAsia="Times New Roman" w:hAnsi="Tahoma" w:cs="Tahoma"/>
                <w:color w:val="000000"/>
                <w:kern w:val="0"/>
                <w:lang w:eastAsia="es-ES"/>
                <w14:ligatures w14:val="none"/>
              </w:rPr>
              <w:t>Minoristas</w:t>
            </w:r>
          </w:p>
        </w:tc>
        <w:tc>
          <w:tcPr>
            <w:tcW w:w="1120" w:type="dxa"/>
            <w:tcBorders>
              <w:top w:val="nil"/>
              <w:left w:val="nil"/>
              <w:bottom w:val="nil"/>
              <w:right w:val="nil"/>
            </w:tcBorders>
            <w:noWrap/>
            <w:vAlign w:val="bottom"/>
            <w:hideMark/>
          </w:tcPr>
          <w:p w14:paraId="41485FAD" w14:textId="77777777" w:rsidR="00C36168" w:rsidRPr="00D870A6" w:rsidRDefault="00C36168" w:rsidP="00F65AAC">
            <w:pPr>
              <w:spacing w:after="0" w:line="240" w:lineRule="auto"/>
              <w:jc w:val="right"/>
              <w:rPr>
                <w:rFonts w:ascii="Tahoma" w:eastAsia="Times New Roman" w:hAnsi="Tahoma" w:cs="Tahoma"/>
                <w:color w:val="000000"/>
                <w:kern w:val="0"/>
                <w:lang w:eastAsia="es-ES"/>
                <w14:ligatures w14:val="none"/>
              </w:rPr>
            </w:pPr>
            <w:r>
              <w:rPr>
                <w:rFonts w:ascii="Tahoma" w:eastAsia="Times New Roman" w:hAnsi="Tahoma" w:cs="Tahoma"/>
                <w:color w:val="000000"/>
                <w:kern w:val="0"/>
                <w:lang w:eastAsia="es-ES"/>
                <w14:ligatures w14:val="none"/>
              </w:rPr>
              <w:t>2.720</w:t>
            </w:r>
          </w:p>
        </w:tc>
        <w:tc>
          <w:tcPr>
            <w:tcW w:w="1120" w:type="dxa"/>
            <w:tcBorders>
              <w:top w:val="nil"/>
              <w:left w:val="nil"/>
              <w:bottom w:val="nil"/>
              <w:right w:val="nil"/>
            </w:tcBorders>
            <w:noWrap/>
            <w:vAlign w:val="bottom"/>
            <w:hideMark/>
          </w:tcPr>
          <w:p w14:paraId="108B3ADB" w14:textId="77777777" w:rsidR="00C36168" w:rsidRPr="00D870A6" w:rsidRDefault="00C36168" w:rsidP="00F65AAC">
            <w:pPr>
              <w:spacing w:after="0" w:line="240" w:lineRule="auto"/>
              <w:jc w:val="right"/>
              <w:rPr>
                <w:rFonts w:ascii="Tahoma" w:eastAsia="Times New Roman" w:hAnsi="Tahoma" w:cs="Tahoma"/>
                <w:color w:val="000000"/>
                <w:kern w:val="0"/>
                <w:lang w:eastAsia="es-ES"/>
                <w14:ligatures w14:val="none"/>
              </w:rPr>
            </w:pPr>
            <w:r>
              <w:rPr>
                <w:rFonts w:ascii="Tahoma" w:eastAsia="Times New Roman" w:hAnsi="Tahoma" w:cs="Tahoma"/>
                <w:color w:val="000000"/>
                <w:kern w:val="0"/>
                <w:lang w:eastAsia="es-ES"/>
                <w14:ligatures w14:val="none"/>
              </w:rPr>
              <w:t>2.409</w:t>
            </w:r>
          </w:p>
        </w:tc>
        <w:tc>
          <w:tcPr>
            <w:tcW w:w="1120" w:type="dxa"/>
            <w:tcBorders>
              <w:top w:val="nil"/>
              <w:left w:val="nil"/>
              <w:bottom w:val="nil"/>
              <w:right w:val="nil"/>
            </w:tcBorders>
            <w:noWrap/>
            <w:vAlign w:val="bottom"/>
            <w:hideMark/>
          </w:tcPr>
          <w:p w14:paraId="485D9037" w14:textId="77777777" w:rsidR="00C36168" w:rsidRPr="00D870A6" w:rsidRDefault="00C36168" w:rsidP="00F65AAC">
            <w:pPr>
              <w:spacing w:after="0" w:line="240" w:lineRule="auto"/>
              <w:jc w:val="right"/>
              <w:rPr>
                <w:rFonts w:ascii="Tahoma" w:eastAsia="Times New Roman" w:hAnsi="Tahoma" w:cs="Tahoma"/>
                <w:color w:val="000000"/>
                <w:kern w:val="0"/>
                <w:lang w:eastAsia="es-ES"/>
                <w14:ligatures w14:val="none"/>
              </w:rPr>
            </w:pPr>
            <w:r>
              <w:rPr>
                <w:rFonts w:ascii="Tahoma" w:eastAsia="Times New Roman" w:hAnsi="Tahoma" w:cs="Tahoma"/>
                <w:color w:val="000000"/>
                <w:kern w:val="0"/>
                <w:lang w:eastAsia="es-ES"/>
                <w14:ligatures w14:val="none"/>
              </w:rPr>
              <w:t>2.564</w:t>
            </w:r>
          </w:p>
        </w:tc>
        <w:tc>
          <w:tcPr>
            <w:tcW w:w="1200" w:type="dxa"/>
            <w:tcBorders>
              <w:top w:val="nil"/>
              <w:left w:val="nil"/>
              <w:bottom w:val="nil"/>
              <w:right w:val="nil"/>
            </w:tcBorders>
            <w:noWrap/>
            <w:vAlign w:val="bottom"/>
            <w:hideMark/>
          </w:tcPr>
          <w:p w14:paraId="487271B6" w14:textId="77777777" w:rsidR="00C36168" w:rsidRPr="00D870A6" w:rsidRDefault="00C36168" w:rsidP="00F65AAC">
            <w:pPr>
              <w:spacing w:after="0" w:line="240" w:lineRule="auto"/>
              <w:jc w:val="right"/>
              <w:rPr>
                <w:rFonts w:ascii="Tahoma" w:eastAsia="Times New Roman" w:hAnsi="Tahoma" w:cs="Tahoma"/>
                <w:color w:val="000000"/>
                <w:kern w:val="0"/>
                <w:lang w:eastAsia="es-ES"/>
                <w14:ligatures w14:val="none"/>
              </w:rPr>
            </w:pPr>
            <w:r>
              <w:rPr>
                <w:rFonts w:ascii="Tahoma" w:eastAsia="Times New Roman" w:hAnsi="Tahoma" w:cs="Tahoma"/>
                <w:color w:val="000000"/>
                <w:kern w:val="0"/>
                <w:lang w:eastAsia="es-ES"/>
                <w14:ligatures w14:val="none"/>
              </w:rPr>
              <w:t>2.659</w:t>
            </w:r>
          </w:p>
        </w:tc>
        <w:tc>
          <w:tcPr>
            <w:tcW w:w="1120" w:type="dxa"/>
            <w:tcBorders>
              <w:top w:val="nil"/>
              <w:left w:val="nil"/>
              <w:bottom w:val="nil"/>
              <w:right w:val="nil"/>
            </w:tcBorders>
            <w:noWrap/>
            <w:vAlign w:val="bottom"/>
            <w:hideMark/>
          </w:tcPr>
          <w:p w14:paraId="698123E3" w14:textId="77777777" w:rsidR="00C36168" w:rsidRPr="00D870A6" w:rsidRDefault="00C36168" w:rsidP="00F65AAC">
            <w:pPr>
              <w:spacing w:after="0" w:line="240" w:lineRule="auto"/>
              <w:jc w:val="right"/>
              <w:rPr>
                <w:rFonts w:ascii="Tahoma" w:eastAsia="Times New Roman" w:hAnsi="Tahoma" w:cs="Tahoma"/>
                <w:color w:val="000000"/>
                <w:kern w:val="0"/>
                <w:lang w:eastAsia="es-ES"/>
                <w14:ligatures w14:val="none"/>
              </w:rPr>
            </w:pPr>
            <w:r>
              <w:rPr>
                <w:rFonts w:ascii="Tahoma" w:eastAsia="Times New Roman" w:hAnsi="Tahoma" w:cs="Tahoma"/>
                <w:color w:val="000000"/>
                <w:kern w:val="0"/>
                <w:lang w:eastAsia="es-ES"/>
                <w14:ligatures w14:val="none"/>
              </w:rPr>
              <w:t>2.352</w:t>
            </w:r>
          </w:p>
        </w:tc>
        <w:tc>
          <w:tcPr>
            <w:tcW w:w="1120" w:type="dxa"/>
            <w:tcBorders>
              <w:top w:val="nil"/>
              <w:left w:val="nil"/>
              <w:bottom w:val="nil"/>
              <w:right w:val="nil"/>
            </w:tcBorders>
            <w:noWrap/>
            <w:vAlign w:val="bottom"/>
            <w:hideMark/>
          </w:tcPr>
          <w:p w14:paraId="1A4AB454" w14:textId="77777777" w:rsidR="00C36168" w:rsidRPr="00D870A6" w:rsidRDefault="00C36168" w:rsidP="00F65AAC">
            <w:pPr>
              <w:spacing w:after="0" w:line="240" w:lineRule="auto"/>
              <w:jc w:val="right"/>
              <w:rPr>
                <w:rFonts w:ascii="Tahoma" w:eastAsia="Times New Roman" w:hAnsi="Tahoma" w:cs="Tahoma"/>
                <w:color w:val="000000"/>
                <w:kern w:val="0"/>
                <w:lang w:eastAsia="es-ES"/>
                <w14:ligatures w14:val="none"/>
              </w:rPr>
            </w:pPr>
            <w:r>
              <w:rPr>
                <w:rFonts w:ascii="Tahoma" w:eastAsia="Times New Roman" w:hAnsi="Tahoma" w:cs="Tahoma"/>
                <w:color w:val="000000"/>
                <w:kern w:val="0"/>
                <w:lang w:eastAsia="es-ES"/>
                <w14:ligatures w14:val="none"/>
              </w:rPr>
              <w:t>2.506</w:t>
            </w:r>
          </w:p>
        </w:tc>
      </w:tr>
      <w:tr w:rsidR="00C36168" w:rsidRPr="00D870A6" w14:paraId="0D7E3896" w14:textId="77777777" w:rsidTr="00F65AAC">
        <w:trPr>
          <w:trHeight w:val="285"/>
        </w:trPr>
        <w:tc>
          <w:tcPr>
            <w:tcW w:w="1320" w:type="dxa"/>
            <w:tcBorders>
              <w:top w:val="nil"/>
              <w:left w:val="nil"/>
              <w:bottom w:val="nil"/>
              <w:right w:val="nil"/>
            </w:tcBorders>
            <w:noWrap/>
            <w:vAlign w:val="bottom"/>
            <w:hideMark/>
          </w:tcPr>
          <w:p w14:paraId="4BAF9BDA" w14:textId="77777777" w:rsidR="00C36168" w:rsidRPr="00D870A6" w:rsidRDefault="00C36168" w:rsidP="00F65AAC">
            <w:pPr>
              <w:spacing w:after="0" w:line="240" w:lineRule="auto"/>
              <w:rPr>
                <w:rFonts w:ascii="Tahoma" w:eastAsia="Times New Roman" w:hAnsi="Tahoma" w:cs="Tahoma"/>
                <w:color w:val="000000"/>
                <w:kern w:val="0"/>
                <w:lang w:eastAsia="es-ES"/>
                <w14:ligatures w14:val="none"/>
              </w:rPr>
            </w:pPr>
            <w:r w:rsidRPr="00D870A6">
              <w:rPr>
                <w:rFonts w:ascii="Tahoma" w:eastAsia="Times New Roman" w:hAnsi="Tahoma" w:cs="Tahoma"/>
                <w:color w:val="000000"/>
                <w:kern w:val="0"/>
                <w:lang w:eastAsia="es-ES"/>
                <w14:ligatures w14:val="none"/>
              </w:rPr>
              <w:t>Hipotecas</w:t>
            </w:r>
          </w:p>
        </w:tc>
        <w:tc>
          <w:tcPr>
            <w:tcW w:w="1120" w:type="dxa"/>
            <w:tcBorders>
              <w:top w:val="nil"/>
              <w:left w:val="nil"/>
              <w:bottom w:val="nil"/>
              <w:right w:val="nil"/>
            </w:tcBorders>
            <w:noWrap/>
            <w:vAlign w:val="bottom"/>
            <w:hideMark/>
          </w:tcPr>
          <w:p w14:paraId="2AFACA12" w14:textId="77777777" w:rsidR="00C36168" w:rsidRPr="00D870A6" w:rsidRDefault="00C36168" w:rsidP="00F65AAC">
            <w:pPr>
              <w:spacing w:after="0" w:line="240" w:lineRule="auto"/>
              <w:jc w:val="right"/>
              <w:rPr>
                <w:rFonts w:ascii="Tahoma" w:eastAsia="Times New Roman" w:hAnsi="Tahoma" w:cs="Tahoma"/>
                <w:color w:val="000000"/>
                <w:kern w:val="0"/>
                <w:lang w:eastAsia="es-ES"/>
                <w14:ligatures w14:val="none"/>
              </w:rPr>
            </w:pPr>
            <w:r>
              <w:rPr>
                <w:rFonts w:ascii="Tahoma" w:eastAsia="Times New Roman" w:hAnsi="Tahoma" w:cs="Tahoma"/>
                <w:color w:val="000000"/>
                <w:kern w:val="0"/>
                <w:lang w:eastAsia="es-ES"/>
                <w14:ligatures w14:val="none"/>
              </w:rPr>
              <w:t>1.801</w:t>
            </w:r>
          </w:p>
        </w:tc>
        <w:tc>
          <w:tcPr>
            <w:tcW w:w="1120" w:type="dxa"/>
            <w:tcBorders>
              <w:top w:val="nil"/>
              <w:left w:val="nil"/>
              <w:bottom w:val="nil"/>
              <w:right w:val="nil"/>
            </w:tcBorders>
            <w:noWrap/>
            <w:vAlign w:val="bottom"/>
            <w:hideMark/>
          </w:tcPr>
          <w:p w14:paraId="7226E024" w14:textId="77777777" w:rsidR="00C36168" w:rsidRPr="00D870A6" w:rsidRDefault="00C36168" w:rsidP="00F65AAC">
            <w:pPr>
              <w:spacing w:after="0" w:line="240" w:lineRule="auto"/>
              <w:jc w:val="right"/>
              <w:rPr>
                <w:rFonts w:ascii="Tahoma" w:eastAsia="Times New Roman" w:hAnsi="Tahoma" w:cs="Tahoma"/>
                <w:color w:val="000000"/>
                <w:kern w:val="0"/>
                <w:lang w:eastAsia="es-ES"/>
                <w14:ligatures w14:val="none"/>
              </w:rPr>
            </w:pPr>
            <w:r>
              <w:rPr>
                <w:rFonts w:ascii="Tahoma" w:eastAsia="Times New Roman" w:hAnsi="Tahoma" w:cs="Tahoma"/>
                <w:color w:val="000000"/>
                <w:kern w:val="0"/>
                <w:lang w:eastAsia="es-ES"/>
                <w14:ligatures w14:val="none"/>
              </w:rPr>
              <w:t>1.711</w:t>
            </w:r>
          </w:p>
        </w:tc>
        <w:tc>
          <w:tcPr>
            <w:tcW w:w="1120" w:type="dxa"/>
            <w:tcBorders>
              <w:top w:val="nil"/>
              <w:left w:val="nil"/>
              <w:bottom w:val="nil"/>
              <w:right w:val="nil"/>
            </w:tcBorders>
            <w:noWrap/>
            <w:vAlign w:val="bottom"/>
            <w:hideMark/>
          </w:tcPr>
          <w:p w14:paraId="5871A97B" w14:textId="77777777" w:rsidR="00C36168" w:rsidRPr="00D870A6" w:rsidRDefault="00C36168" w:rsidP="00F65AAC">
            <w:pPr>
              <w:spacing w:after="0" w:line="240" w:lineRule="auto"/>
              <w:jc w:val="right"/>
              <w:rPr>
                <w:rFonts w:ascii="Tahoma" w:eastAsia="Times New Roman" w:hAnsi="Tahoma" w:cs="Tahoma"/>
                <w:color w:val="000000"/>
                <w:kern w:val="0"/>
                <w:lang w:eastAsia="es-ES"/>
                <w14:ligatures w14:val="none"/>
              </w:rPr>
            </w:pPr>
            <w:r>
              <w:rPr>
                <w:rFonts w:ascii="Tahoma" w:eastAsia="Times New Roman" w:hAnsi="Tahoma" w:cs="Tahoma"/>
                <w:color w:val="000000"/>
                <w:kern w:val="0"/>
                <w:lang w:eastAsia="es-ES"/>
                <w14:ligatures w14:val="none"/>
              </w:rPr>
              <w:t>1.756</w:t>
            </w:r>
          </w:p>
        </w:tc>
        <w:tc>
          <w:tcPr>
            <w:tcW w:w="1200" w:type="dxa"/>
            <w:tcBorders>
              <w:top w:val="nil"/>
              <w:left w:val="nil"/>
              <w:bottom w:val="nil"/>
              <w:right w:val="nil"/>
            </w:tcBorders>
            <w:noWrap/>
            <w:vAlign w:val="bottom"/>
            <w:hideMark/>
          </w:tcPr>
          <w:p w14:paraId="1B7FBCCF" w14:textId="77777777" w:rsidR="00C36168" w:rsidRPr="00D870A6" w:rsidRDefault="00C36168" w:rsidP="00F65AAC">
            <w:pPr>
              <w:spacing w:after="0" w:line="240" w:lineRule="auto"/>
              <w:jc w:val="right"/>
              <w:rPr>
                <w:rFonts w:ascii="Tahoma" w:eastAsia="Times New Roman" w:hAnsi="Tahoma" w:cs="Tahoma"/>
                <w:color w:val="000000"/>
                <w:kern w:val="0"/>
                <w:lang w:eastAsia="es-ES"/>
                <w14:ligatures w14:val="none"/>
              </w:rPr>
            </w:pPr>
            <w:r>
              <w:rPr>
                <w:rFonts w:ascii="Tahoma" w:eastAsia="Times New Roman" w:hAnsi="Tahoma" w:cs="Tahoma"/>
                <w:color w:val="000000"/>
                <w:kern w:val="0"/>
                <w:lang w:eastAsia="es-ES"/>
                <w14:ligatures w14:val="none"/>
              </w:rPr>
              <w:t>1.775</w:t>
            </w:r>
          </w:p>
        </w:tc>
        <w:tc>
          <w:tcPr>
            <w:tcW w:w="1120" w:type="dxa"/>
            <w:tcBorders>
              <w:top w:val="nil"/>
              <w:left w:val="nil"/>
              <w:bottom w:val="nil"/>
              <w:right w:val="nil"/>
            </w:tcBorders>
            <w:noWrap/>
            <w:vAlign w:val="bottom"/>
            <w:hideMark/>
          </w:tcPr>
          <w:p w14:paraId="0E7B24F9" w14:textId="77777777" w:rsidR="00C36168" w:rsidRPr="00D870A6" w:rsidRDefault="00C36168" w:rsidP="00F65AAC">
            <w:pPr>
              <w:spacing w:after="0" w:line="240" w:lineRule="auto"/>
              <w:jc w:val="right"/>
              <w:rPr>
                <w:rFonts w:ascii="Tahoma" w:eastAsia="Times New Roman" w:hAnsi="Tahoma" w:cs="Tahoma"/>
                <w:color w:val="000000"/>
                <w:kern w:val="0"/>
                <w:lang w:eastAsia="es-ES"/>
                <w14:ligatures w14:val="none"/>
              </w:rPr>
            </w:pPr>
            <w:r>
              <w:rPr>
                <w:rFonts w:ascii="Tahoma" w:eastAsia="Times New Roman" w:hAnsi="Tahoma" w:cs="Tahoma"/>
                <w:color w:val="000000"/>
                <w:kern w:val="0"/>
                <w:lang w:eastAsia="es-ES"/>
                <w14:ligatures w14:val="none"/>
              </w:rPr>
              <w:t>1.702</w:t>
            </w:r>
          </w:p>
        </w:tc>
        <w:tc>
          <w:tcPr>
            <w:tcW w:w="1120" w:type="dxa"/>
            <w:tcBorders>
              <w:top w:val="nil"/>
              <w:left w:val="nil"/>
              <w:bottom w:val="nil"/>
              <w:right w:val="nil"/>
            </w:tcBorders>
            <w:noWrap/>
            <w:vAlign w:val="bottom"/>
            <w:hideMark/>
          </w:tcPr>
          <w:p w14:paraId="25461AC8" w14:textId="77777777" w:rsidR="00C36168" w:rsidRPr="00D870A6" w:rsidRDefault="00C36168" w:rsidP="00F65AAC">
            <w:pPr>
              <w:spacing w:after="0" w:line="240" w:lineRule="auto"/>
              <w:jc w:val="right"/>
              <w:rPr>
                <w:rFonts w:ascii="Tahoma" w:eastAsia="Times New Roman" w:hAnsi="Tahoma" w:cs="Tahoma"/>
                <w:color w:val="000000"/>
                <w:kern w:val="0"/>
                <w:lang w:eastAsia="es-ES"/>
                <w14:ligatures w14:val="none"/>
              </w:rPr>
            </w:pPr>
            <w:r>
              <w:rPr>
                <w:rFonts w:ascii="Tahoma" w:eastAsia="Times New Roman" w:hAnsi="Tahoma" w:cs="Tahoma"/>
                <w:color w:val="000000"/>
                <w:kern w:val="0"/>
                <w:lang w:eastAsia="es-ES"/>
                <w14:ligatures w14:val="none"/>
              </w:rPr>
              <w:t>1.738</w:t>
            </w:r>
          </w:p>
        </w:tc>
      </w:tr>
      <w:tr w:rsidR="00C36168" w:rsidRPr="00D870A6" w14:paraId="03B90643" w14:textId="77777777" w:rsidTr="00F65AAC">
        <w:trPr>
          <w:trHeight w:val="285"/>
        </w:trPr>
        <w:tc>
          <w:tcPr>
            <w:tcW w:w="1320" w:type="dxa"/>
            <w:tcBorders>
              <w:top w:val="nil"/>
              <w:left w:val="nil"/>
              <w:bottom w:val="nil"/>
              <w:right w:val="nil"/>
            </w:tcBorders>
            <w:noWrap/>
            <w:vAlign w:val="bottom"/>
            <w:hideMark/>
          </w:tcPr>
          <w:p w14:paraId="3E4D825F" w14:textId="77777777" w:rsidR="00C36168" w:rsidRPr="00D870A6" w:rsidRDefault="00C36168" w:rsidP="00F65AAC">
            <w:pPr>
              <w:spacing w:after="0" w:line="240" w:lineRule="auto"/>
              <w:rPr>
                <w:rFonts w:ascii="Tahoma" w:eastAsia="Times New Roman" w:hAnsi="Tahoma" w:cs="Tahoma"/>
                <w:color w:val="000000"/>
                <w:kern w:val="0"/>
                <w:lang w:eastAsia="es-ES"/>
                <w14:ligatures w14:val="none"/>
              </w:rPr>
            </w:pPr>
            <w:r w:rsidRPr="00D870A6">
              <w:rPr>
                <w:rFonts w:ascii="Tahoma" w:eastAsia="Times New Roman" w:hAnsi="Tahoma" w:cs="Tahoma"/>
                <w:color w:val="000000"/>
                <w:kern w:val="0"/>
                <w:lang w:eastAsia="es-ES"/>
                <w14:ligatures w14:val="none"/>
              </w:rPr>
              <w:t>Mora</w:t>
            </w:r>
          </w:p>
        </w:tc>
        <w:tc>
          <w:tcPr>
            <w:tcW w:w="1120" w:type="dxa"/>
            <w:tcBorders>
              <w:top w:val="nil"/>
              <w:left w:val="nil"/>
              <w:bottom w:val="nil"/>
              <w:right w:val="nil"/>
            </w:tcBorders>
            <w:noWrap/>
            <w:vAlign w:val="bottom"/>
            <w:hideMark/>
          </w:tcPr>
          <w:p w14:paraId="3E8F52F9" w14:textId="77777777" w:rsidR="00C36168" w:rsidRPr="00D870A6" w:rsidRDefault="00C36168" w:rsidP="00F65AAC">
            <w:pPr>
              <w:spacing w:after="0" w:line="240" w:lineRule="auto"/>
              <w:jc w:val="right"/>
              <w:rPr>
                <w:rFonts w:ascii="Tahoma" w:eastAsia="Times New Roman" w:hAnsi="Tahoma" w:cs="Tahoma"/>
                <w:color w:val="000000"/>
                <w:kern w:val="0"/>
                <w:lang w:eastAsia="es-ES"/>
                <w14:ligatures w14:val="none"/>
              </w:rPr>
            </w:pPr>
            <w:r>
              <w:rPr>
                <w:rFonts w:ascii="Tahoma" w:eastAsia="Times New Roman" w:hAnsi="Tahoma" w:cs="Tahoma"/>
                <w:color w:val="000000"/>
                <w:kern w:val="0"/>
                <w:lang w:eastAsia="es-ES"/>
                <w14:ligatures w14:val="none"/>
              </w:rPr>
              <w:t>1.208</w:t>
            </w:r>
          </w:p>
        </w:tc>
        <w:tc>
          <w:tcPr>
            <w:tcW w:w="1120" w:type="dxa"/>
            <w:tcBorders>
              <w:top w:val="nil"/>
              <w:left w:val="nil"/>
              <w:bottom w:val="nil"/>
              <w:right w:val="nil"/>
            </w:tcBorders>
            <w:noWrap/>
            <w:vAlign w:val="bottom"/>
            <w:hideMark/>
          </w:tcPr>
          <w:p w14:paraId="1B6EF9D8" w14:textId="77777777" w:rsidR="00C36168" w:rsidRPr="00D870A6" w:rsidRDefault="00C36168" w:rsidP="00F65AAC">
            <w:pPr>
              <w:spacing w:after="0" w:line="240" w:lineRule="auto"/>
              <w:jc w:val="right"/>
              <w:rPr>
                <w:rFonts w:ascii="Tahoma" w:eastAsia="Times New Roman" w:hAnsi="Tahoma" w:cs="Tahoma"/>
                <w:color w:val="000000"/>
                <w:kern w:val="0"/>
                <w:lang w:eastAsia="es-ES"/>
                <w14:ligatures w14:val="none"/>
              </w:rPr>
            </w:pPr>
            <w:r>
              <w:rPr>
                <w:rFonts w:ascii="Tahoma" w:eastAsia="Times New Roman" w:hAnsi="Tahoma" w:cs="Tahoma"/>
                <w:color w:val="000000"/>
                <w:kern w:val="0"/>
                <w:lang w:eastAsia="es-ES"/>
                <w14:ligatures w14:val="none"/>
              </w:rPr>
              <w:t>314</w:t>
            </w:r>
          </w:p>
        </w:tc>
        <w:tc>
          <w:tcPr>
            <w:tcW w:w="1120" w:type="dxa"/>
            <w:tcBorders>
              <w:top w:val="nil"/>
              <w:left w:val="nil"/>
              <w:bottom w:val="nil"/>
              <w:right w:val="nil"/>
            </w:tcBorders>
            <w:noWrap/>
            <w:vAlign w:val="bottom"/>
            <w:hideMark/>
          </w:tcPr>
          <w:p w14:paraId="0B738FB7" w14:textId="77777777" w:rsidR="00C36168" w:rsidRPr="00D870A6" w:rsidRDefault="00C36168" w:rsidP="00F65AAC">
            <w:pPr>
              <w:spacing w:after="0" w:line="240" w:lineRule="auto"/>
              <w:jc w:val="right"/>
              <w:rPr>
                <w:rFonts w:ascii="Tahoma" w:eastAsia="Times New Roman" w:hAnsi="Tahoma" w:cs="Tahoma"/>
                <w:color w:val="000000"/>
                <w:kern w:val="0"/>
                <w:lang w:eastAsia="es-ES"/>
                <w14:ligatures w14:val="none"/>
              </w:rPr>
            </w:pPr>
            <w:r>
              <w:rPr>
                <w:rFonts w:ascii="Tahoma" w:eastAsia="Times New Roman" w:hAnsi="Tahoma" w:cs="Tahoma"/>
                <w:color w:val="000000"/>
                <w:kern w:val="0"/>
                <w:lang w:eastAsia="es-ES"/>
                <w14:ligatures w14:val="none"/>
              </w:rPr>
              <w:t>761</w:t>
            </w:r>
          </w:p>
        </w:tc>
        <w:tc>
          <w:tcPr>
            <w:tcW w:w="1200" w:type="dxa"/>
            <w:tcBorders>
              <w:top w:val="nil"/>
              <w:left w:val="nil"/>
              <w:bottom w:val="nil"/>
              <w:right w:val="nil"/>
            </w:tcBorders>
            <w:noWrap/>
            <w:vAlign w:val="bottom"/>
            <w:hideMark/>
          </w:tcPr>
          <w:p w14:paraId="6B5D1474" w14:textId="77777777" w:rsidR="00C36168" w:rsidRPr="00D870A6" w:rsidRDefault="00C36168" w:rsidP="00F65AAC">
            <w:pPr>
              <w:spacing w:after="0" w:line="240" w:lineRule="auto"/>
              <w:jc w:val="right"/>
              <w:rPr>
                <w:rFonts w:ascii="Tahoma" w:eastAsia="Times New Roman" w:hAnsi="Tahoma" w:cs="Tahoma"/>
                <w:color w:val="000000"/>
                <w:kern w:val="0"/>
                <w:lang w:eastAsia="es-ES"/>
                <w14:ligatures w14:val="none"/>
              </w:rPr>
            </w:pPr>
            <w:r>
              <w:rPr>
                <w:rFonts w:ascii="Tahoma" w:eastAsia="Times New Roman" w:hAnsi="Tahoma" w:cs="Tahoma"/>
                <w:color w:val="000000"/>
                <w:kern w:val="0"/>
                <w:lang w:eastAsia="es-ES"/>
                <w14:ligatures w14:val="none"/>
              </w:rPr>
              <w:t>272</w:t>
            </w:r>
          </w:p>
        </w:tc>
        <w:tc>
          <w:tcPr>
            <w:tcW w:w="1120" w:type="dxa"/>
            <w:tcBorders>
              <w:top w:val="nil"/>
              <w:left w:val="nil"/>
              <w:bottom w:val="nil"/>
              <w:right w:val="nil"/>
            </w:tcBorders>
            <w:noWrap/>
            <w:vAlign w:val="bottom"/>
            <w:hideMark/>
          </w:tcPr>
          <w:p w14:paraId="6CE69016" w14:textId="77777777" w:rsidR="00C36168" w:rsidRPr="00D870A6" w:rsidRDefault="00C36168" w:rsidP="00F65AAC">
            <w:pPr>
              <w:spacing w:after="0" w:line="240" w:lineRule="auto"/>
              <w:jc w:val="right"/>
              <w:rPr>
                <w:rFonts w:ascii="Tahoma" w:eastAsia="Times New Roman" w:hAnsi="Tahoma" w:cs="Tahoma"/>
                <w:color w:val="000000"/>
                <w:kern w:val="0"/>
                <w:lang w:eastAsia="es-ES"/>
                <w14:ligatures w14:val="none"/>
              </w:rPr>
            </w:pPr>
            <w:r>
              <w:rPr>
                <w:rFonts w:ascii="Tahoma" w:eastAsia="Times New Roman" w:hAnsi="Tahoma" w:cs="Tahoma"/>
                <w:color w:val="000000"/>
                <w:kern w:val="0"/>
                <w:lang w:eastAsia="es-ES"/>
                <w14:ligatures w14:val="none"/>
              </w:rPr>
              <w:t>71</w:t>
            </w:r>
          </w:p>
        </w:tc>
        <w:tc>
          <w:tcPr>
            <w:tcW w:w="1120" w:type="dxa"/>
            <w:tcBorders>
              <w:top w:val="nil"/>
              <w:left w:val="nil"/>
              <w:bottom w:val="nil"/>
              <w:right w:val="nil"/>
            </w:tcBorders>
            <w:noWrap/>
            <w:vAlign w:val="bottom"/>
            <w:hideMark/>
          </w:tcPr>
          <w:p w14:paraId="64329633" w14:textId="77777777" w:rsidR="00C36168" w:rsidRPr="00D870A6" w:rsidRDefault="00C36168" w:rsidP="00F65AAC">
            <w:pPr>
              <w:spacing w:after="0" w:line="240" w:lineRule="auto"/>
              <w:jc w:val="right"/>
              <w:rPr>
                <w:rFonts w:ascii="Tahoma" w:eastAsia="Times New Roman" w:hAnsi="Tahoma" w:cs="Tahoma"/>
                <w:color w:val="000000"/>
                <w:kern w:val="0"/>
                <w:lang w:eastAsia="es-ES"/>
                <w14:ligatures w14:val="none"/>
              </w:rPr>
            </w:pPr>
            <w:r>
              <w:rPr>
                <w:rFonts w:ascii="Tahoma" w:eastAsia="Times New Roman" w:hAnsi="Tahoma" w:cs="Tahoma"/>
                <w:color w:val="000000"/>
                <w:kern w:val="0"/>
                <w:lang w:eastAsia="es-ES"/>
                <w14:ligatures w14:val="none"/>
              </w:rPr>
              <w:t>172</w:t>
            </w:r>
          </w:p>
        </w:tc>
      </w:tr>
      <w:tr w:rsidR="00C36168" w:rsidRPr="00D870A6" w14:paraId="514B8BC3" w14:textId="77777777" w:rsidTr="00F65AAC">
        <w:trPr>
          <w:trHeight w:val="285"/>
        </w:trPr>
        <w:tc>
          <w:tcPr>
            <w:tcW w:w="1320" w:type="dxa"/>
            <w:tcBorders>
              <w:top w:val="nil"/>
              <w:left w:val="nil"/>
              <w:bottom w:val="nil"/>
              <w:right w:val="nil"/>
            </w:tcBorders>
            <w:noWrap/>
            <w:vAlign w:val="bottom"/>
            <w:hideMark/>
          </w:tcPr>
          <w:p w14:paraId="6C31E2BF" w14:textId="77777777" w:rsidR="00C36168" w:rsidRPr="00D870A6" w:rsidRDefault="00C36168" w:rsidP="00F65AAC">
            <w:pPr>
              <w:spacing w:after="0" w:line="240" w:lineRule="auto"/>
              <w:rPr>
                <w:rFonts w:ascii="Tahoma" w:eastAsia="Times New Roman" w:hAnsi="Tahoma" w:cs="Tahoma"/>
                <w:color w:val="000000"/>
                <w:kern w:val="0"/>
                <w:lang w:eastAsia="es-ES"/>
                <w14:ligatures w14:val="none"/>
              </w:rPr>
            </w:pPr>
            <w:r w:rsidRPr="00D870A6">
              <w:rPr>
                <w:rFonts w:ascii="Tahoma" w:eastAsia="Times New Roman" w:hAnsi="Tahoma" w:cs="Tahoma"/>
                <w:color w:val="000000"/>
                <w:kern w:val="0"/>
                <w:lang w:eastAsia="es-ES"/>
                <w14:ligatures w14:val="none"/>
              </w:rPr>
              <w:t>Otras</w:t>
            </w:r>
          </w:p>
        </w:tc>
        <w:tc>
          <w:tcPr>
            <w:tcW w:w="1120" w:type="dxa"/>
            <w:tcBorders>
              <w:top w:val="nil"/>
              <w:left w:val="nil"/>
              <w:bottom w:val="nil"/>
              <w:right w:val="nil"/>
            </w:tcBorders>
            <w:noWrap/>
            <w:vAlign w:val="bottom"/>
            <w:hideMark/>
          </w:tcPr>
          <w:p w14:paraId="50D4B23F" w14:textId="77777777" w:rsidR="00C36168" w:rsidRPr="00D870A6" w:rsidRDefault="00C36168" w:rsidP="00F65AAC">
            <w:pPr>
              <w:spacing w:after="0" w:line="240" w:lineRule="auto"/>
              <w:jc w:val="right"/>
              <w:rPr>
                <w:rFonts w:ascii="Tahoma" w:eastAsia="Times New Roman" w:hAnsi="Tahoma" w:cs="Tahoma"/>
                <w:color w:val="000000"/>
                <w:kern w:val="0"/>
                <w:lang w:eastAsia="es-ES"/>
                <w14:ligatures w14:val="none"/>
              </w:rPr>
            </w:pPr>
            <w:r>
              <w:rPr>
                <w:rFonts w:ascii="Tahoma" w:eastAsia="Times New Roman" w:hAnsi="Tahoma" w:cs="Tahoma"/>
                <w:color w:val="000000"/>
                <w:kern w:val="0"/>
                <w:lang w:eastAsia="es-ES"/>
                <w14:ligatures w14:val="none"/>
              </w:rPr>
              <w:t>470</w:t>
            </w:r>
          </w:p>
        </w:tc>
        <w:tc>
          <w:tcPr>
            <w:tcW w:w="1120" w:type="dxa"/>
            <w:tcBorders>
              <w:top w:val="nil"/>
              <w:left w:val="nil"/>
              <w:bottom w:val="nil"/>
              <w:right w:val="nil"/>
            </w:tcBorders>
            <w:noWrap/>
            <w:vAlign w:val="bottom"/>
            <w:hideMark/>
          </w:tcPr>
          <w:p w14:paraId="0AC6F448" w14:textId="77777777" w:rsidR="00C36168" w:rsidRPr="00D870A6" w:rsidRDefault="00C36168" w:rsidP="00F65AAC">
            <w:pPr>
              <w:spacing w:after="0" w:line="240" w:lineRule="auto"/>
              <w:jc w:val="right"/>
              <w:rPr>
                <w:rFonts w:ascii="Tahoma" w:eastAsia="Times New Roman" w:hAnsi="Tahoma" w:cs="Tahoma"/>
                <w:color w:val="000000"/>
                <w:kern w:val="0"/>
                <w:lang w:eastAsia="es-ES"/>
                <w14:ligatures w14:val="none"/>
              </w:rPr>
            </w:pPr>
            <w:r>
              <w:rPr>
                <w:rFonts w:ascii="Tahoma" w:eastAsia="Times New Roman" w:hAnsi="Tahoma" w:cs="Tahoma"/>
                <w:color w:val="000000"/>
                <w:kern w:val="0"/>
                <w:lang w:eastAsia="es-ES"/>
                <w14:ligatures w14:val="none"/>
              </w:rPr>
              <w:t>173</w:t>
            </w:r>
          </w:p>
        </w:tc>
        <w:tc>
          <w:tcPr>
            <w:tcW w:w="1120" w:type="dxa"/>
            <w:tcBorders>
              <w:top w:val="nil"/>
              <w:left w:val="nil"/>
              <w:bottom w:val="nil"/>
              <w:right w:val="nil"/>
            </w:tcBorders>
            <w:noWrap/>
            <w:vAlign w:val="bottom"/>
            <w:hideMark/>
          </w:tcPr>
          <w:p w14:paraId="0D961606" w14:textId="77777777" w:rsidR="00C36168" w:rsidRPr="00D870A6" w:rsidRDefault="00C36168" w:rsidP="00F65AAC">
            <w:pPr>
              <w:spacing w:after="0" w:line="240" w:lineRule="auto"/>
              <w:jc w:val="right"/>
              <w:rPr>
                <w:rFonts w:ascii="Tahoma" w:eastAsia="Times New Roman" w:hAnsi="Tahoma" w:cs="Tahoma"/>
                <w:color w:val="000000"/>
                <w:kern w:val="0"/>
                <w:lang w:eastAsia="es-ES"/>
                <w14:ligatures w14:val="none"/>
              </w:rPr>
            </w:pPr>
            <w:r>
              <w:rPr>
                <w:rFonts w:ascii="Tahoma" w:eastAsia="Times New Roman" w:hAnsi="Tahoma" w:cs="Tahoma"/>
                <w:color w:val="000000"/>
                <w:kern w:val="0"/>
                <w:lang w:eastAsia="es-ES"/>
                <w14:ligatures w14:val="none"/>
              </w:rPr>
              <w:t>322</w:t>
            </w:r>
          </w:p>
        </w:tc>
        <w:tc>
          <w:tcPr>
            <w:tcW w:w="1200" w:type="dxa"/>
            <w:tcBorders>
              <w:top w:val="nil"/>
              <w:left w:val="nil"/>
              <w:bottom w:val="nil"/>
              <w:right w:val="nil"/>
            </w:tcBorders>
            <w:noWrap/>
            <w:vAlign w:val="bottom"/>
            <w:hideMark/>
          </w:tcPr>
          <w:p w14:paraId="51D78991" w14:textId="77777777" w:rsidR="00C36168" w:rsidRPr="00D870A6" w:rsidRDefault="00C36168" w:rsidP="00F65AAC">
            <w:pPr>
              <w:spacing w:after="0" w:line="240" w:lineRule="auto"/>
              <w:jc w:val="right"/>
              <w:rPr>
                <w:rFonts w:ascii="Tahoma" w:eastAsia="Times New Roman" w:hAnsi="Tahoma" w:cs="Tahoma"/>
                <w:color w:val="000000"/>
                <w:kern w:val="0"/>
                <w:lang w:eastAsia="es-ES"/>
                <w14:ligatures w14:val="none"/>
              </w:rPr>
            </w:pPr>
            <w:r>
              <w:rPr>
                <w:rFonts w:ascii="Tahoma" w:eastAsia="Times New Roman" w:hAnsi="Tahoma" w:cs="Tahoma"/>
                <w:color w:val="000000"/>
                <w:kern w:val="0"/>
                <w:lang w:eastAsia="es-ES"/>
                <w14:ligatures w14:val="none"/>
              </w:rPr>
              <w:t>470</w:t>
            </w:r>
          </w:p>
        </w:tc>
        <w:tc>
          <w:tcPr>
            <w:tcW w:w="1120" w:type="dxa"/>
            <w:tcBorders>
              <w:top w:val="nil"/>
              <w:left w:val="nil"/>
              <w:bottom w:val="nil"/>
              <w:right w:val="nil"/>
            </w:tcBorders>
            <w:noWrap/>
            <w:vAlign w:val="bottom"/>
            <w:hideMark/>
          </w:tcPr>
          <w:p w14:paraId="54C57204" w14:textId="77777777" w:rsidR="00C36168" w:rsidRPr="00D870A6" w:rsidRDefault="00C36168" w:rsidP="00F65AAC">
            <w:pPr>
              <w:spacing w:after="0" w:line="240" w:lineRule="auto"/>
              <w:jc w:val="right"/>
              <w:rPr>
                <w:rFonts w:ascii="Tahoma" w:eastAsia="Times New Roman" w:hAnsi="Tahoma" w:cs="Tahoma"/>
                <w:color w:val="000000"/>
                <w:kern w:val="0"/>
                <w:lang w:eastAsia="es-ES"/>
                <w14:ligatures w14:val="none"/>
              </w:rPr>
            </w:pPr>
            <w:r>
              <w:rPr>
                <w:rFonts w:ascii="Tahoma" w:eastAsia="Times New Roman" w:hAnsi="Tahoma" w:cs="Tahoma"/>
                <w:color w:val="000000"/>
                <w:kern w:val="0"/>
                <w:lang w:eastAsia="es-ES"/>
                <w14:ligatures w14:val="none"/>
              </w:rPr>
              <w:t>173</w:t>
            </w:r>
          </w:p>
        </w:tc>
        <w:tc>
          <w:tcPr>
            <w:tcW w:w="1120" w:type="dxa"/>
            <w:tcBorders>
              <w:top w:val="nil"/>
              <w:left w:val="nil"/>
              <w:bottom w:val="nil"/>
              <w:right w:val="nil"/>
            </w:tcBorders>
            <w:noWrap/>
            <w:vAlign w:val="bottom"/>
            <w:hideMark/>
          </w:tcPr>
          <w:p w14:paraId="35B3E456" w14:textId="77777777" w:rsidR="00C36168" w:rsidRPr="00D870A6" w:rsidRDefault="00C36168" w:rsidP="00F65AAC">
            <w:pPr>
              <w:spacing w:after="0" w:line="240" w:lineRule="auto"/>
              <w:jc w:val="right"/>
              <w:rPr>
                <w:rFonts w:ascii="Tahoma" w:eastAsia="Times New Roman" w:hAnsi="Tahoma" w:cs="Tahoma"/>
                <w:color w:val="000000"/>
                <w:kern w:val="0"/>
                <w:lang w:eastAsia="es-ES"/>
                <w14:ligatures w14:val="none"/>
              </w:rPr>
            </w:pPr>
            <w:r>
              <w:rPr>
                <w:rFonts w:ascii="Tahoma" w:eastAsia="Times New Roman" w:hAnsi="Tahoma" w:cs="Tahoma"/>
                <w:color w:val="000000"/>
                <w:kern w:val="0"/>
                <w:lang w:eastAsia="es-ES"/>
                <w14:ligatures w14:val="none"/>
              </w:rPr>
              <w:t>322</w:t>
            </w:r>
          </w:p>
        </w:tc>
      </w:tr>
      <w:tr w:rsidR="00C36168" w:rsidRPr="00D870A6" w14:paraId="0A89BECE" w14:textId="77777777" w:rsidTr="00F65AAC">
        <w:trPr>
          <w:trHeight w:val="300"/>
        </w:trPr>
        <w:tc>
          <w:tcPr>
            <w:tcW w:w="1320" w:type="dxa"/>
            <w:tcBorders>
              <w:top w:val="single" w:sz="4" w:space="0" w:color="auto"/>
              <w:left w:val="nil"/>
              <w:bottom w:val="double" w:sz="6" w:space="0" w:color="auto"/>
              <w:right w:val="nil"/>
            </w:tcBorders>
            <w:noWrap/>
            <w:vAlign w:val="bottom"/>
            <w:hideMark/>
          </w:tcPr>
          <w:p w14:paraId="5A3D8D7B" w14:textId="77777777" w:rsidR="00C36168" w:rsidRPr="00D870A6" w:rsidRDefault="00C36168" w:rsidP="00F65AAC">
            <w:pPr>
              <w:spacing w:after="0" w:line="240" w:lineRule="auto"/>
              <w:rPr>
                <w:rFonts w:ascii="Tahoma" w:eastAsia="Times New Roman" w:hAnsi="Tahoma" w:cs="Tahoma"/>
                <w:color w:val="000000"/>
                <w:kern w:val="0"/>
                <w:lang w:eastAsia="es-ES"/>
                <w14:ligatures w14:val="none"/>
              </w:rPr>
            </w:pPr>
            <w:r w:rsidRPr="00D870A6">
              <w:rPr>
                <w:rFonts w:ascii="Tahoma" w:eastAsia="Times New Roman" w:hAnsi="Tahoma" w:cs="Tahoma"/>
                <w:color w:val="000000"/>
                <w:kern w:val="0"/>
                <w:lang w:eastAsia="es-ES"/>
                <w14:ligatures w14:val="none"/>
              </w:rPr>
              <w:t>Total</w:t>
            </w:r>
          </w:p>
        </w:tc>
        <w:tc>
          <w:tcPr>
            <w:tcW w:w="1120" w:type="dxa"/>
            <w:tcBorders>
              <w:top w:val="single" w:sz="4" w:space="0" w:color="auto"/>
              <w:left w:val="nil"/>
              <w:bottom w:val="double" w:sz="6" w:space="0" w:color="auto"/>
              <w:right w:val="nil"/>
            </w:tcBorders>
            <w:noWrap/>
            <w:vAlign w:val="bottom"/>
            <w:hideMark/>
          </w:tcPr>
          <w:p w14:paraId="06699921" w14:textId="77777777" w:rsidR="00C36168" w:rsidRPr="00D870A6" w:rsidRDefault="00C36168" w:rsidP="00F65AAC">
            <w:pPr>
              <w:spacing w:after="0" w:line="240" w:lineRule="auto"/>
              <w:jc w:val="right"/>
              <w:rPr>
                <w:rFonts w:ascii="Tahoma" w:eastAsia="Times New Roman" w:hAnsi="Tahoma" w:cs="Tahoma"/>
                <w:color w:val="000000"/>
                <w:kern w:val="0"/>
                <w:lang w:eastAsia="es-ES"/>
                <w14:ligatures w14:val="none"/>
              </w:rPr>
            </w:pPr>
            <w:r>
              <w:rPr>
                <w:rFonts w:ascii="Tahoma" w:eastAsia="Times New Roman" w:hAnsi="Tahoma" w:cs="Tahoma"/>
                <w:color w:val="000000"/>
                <w:kern w:val="0"/>
                <w:lang w:eastAsia="es-ES"/>
                <w14:ligatures w14:val="none"/>
              </w:rPr>
              <w:t>6.849</w:t>
            </w:r>
          </w:p>
        </w:tc>
        <w:tc>
          <w:tcPr>
            <w:tcW w:w="1120" w:type="dxa"/>
            <w:tcBorders>
              <w:top w:val="single" w:sz="4" w:space="0" w:color="auto"/>
              <w:left w:val="nil"/>
              <w:bottom w:val="double" w:sz="6" w:space="0" w:color="auto"/>
              <w:right w:val="nil"/>
            </w:tcBorders>
            <w:noWrap/>
            <w:vAlign w:val="bottom"/>
            <w:hideMark/>
          </w:tcPr>
          <w:p w14:paraId="1C243A9E" w14:textId="77777777" w:rsidR="00C36168" w:rsidRPr="00D870A6" w:rsidRDefault="00C36168" w:rsidP="00F65AAC">
            <w:pPr>
              <w:spacing w:after="0" w:line="240" w:lineRule="auto"/>
              <w:jc w:val="right"/>
              <w:rPr>
                <w:rFonts w:ascii="Tahoma" w:eastAsia="Times New Roman" w:hAnsi="Tahoma" w:cs="Tahoma"/>
                <w:color w:val="000000"/>
                <w:kern w:val="0"/>
                <w:lang w:eastAsia="es-ES"/>
                <w14:ligatures w14:val="none"/>
              </w:rPr>
            </w:pPr>
            <w:r>
              <w:rPr>
                <w:rFonts w:ascii="Tahoma" w:eastAsia="Times New Roman" w:hAnsi="Tahoma" w:cs="Tahoma"/>
                <w:color w:val="000000"/>
                <w:kern w:val="0"/>
                <w:lang w:eastAsia="es-ES"/>
                <w14:ligatures w14:val="none"/>
              </w:rPr>
              <w:t>10.571</w:t>
            </w:r>
          </w:p>
        </w:tc>
        <w:tc>
          <w:tcPr>
            <w:tcW w:w="1120" w:type="dxa"/>
            <w:tcBorders>
              <w:top w:val="single" w:sz="4" w:space="0" w:color="auto"/>
              <w:left w:val="nil"/>
              <w:bottom w:val="double" w:sz="6" w:space="0" w:color="auto"/>
              <w:right w:val="nil"/>
            </w:tcBorders>
            <w:noWrap/>
            <w:vAlign w:val="bottom"/>
            <w:hideMark/>
          </w:tcPr>
          <w:p w14:paraId="34E978A5" w14:textId="77777777" w:rsidR="00C36168" w:rsidRPr="00D870A6" w:rsidRDefault="00C36168" w:rsidP="00F65AAC">
            <w:pPr>
              <w:spacing w:after="0" w:line="240" w:lineRule="auto"/>
              <w:jc w:val="right"/>
              <w:rPr>
                <w:rFonts w:ascii="Tahoma" w:eastAsia="Times New Roman" w:hAnsi="Tahoma" w:cs="Tahoma"/>
                <w:color w:val="000000"/>
                <w:kern w:val="0"/>
                <w:lang w:eastAsia="es-ES"/>
                <w14:ligatures w14:val="none"/>
              </w:rPr>
            </w:pPr>
            <w:r>
              <w:rPr>
                <w:rFonts w:ascii="Tahoma" w:eastAsia="Times New Roman" w:hAnsi="Tahoma" w:cs="Tahoma"/>
                <w:color w:val="000000"/>
                <w:kern w:val="0"/>
                <w:lang w:eastAsia="es-ES"/>
                <w14:ligatures w14:val="none"/>
              </w:rPr>
              <w:t>8.710</w:t>
            </w:r>
          </w:p>
        </w:tc>
        <w:tc>
          <w:tcPr>
            <w:tcW w:w="1200" w:type="dxa"/>
            <w:tcBorders>
              <w:top w:val="single" w:sz="4" w:space="0" w:color="auto"/>
              <w:left w:val="nil"/>
              <w:bottom w:val="double" w:sz="6" w:space="0" w:color="auto"/>
              <w:right w:val="nil"/>
            </w:tcBorders>
            <w:noWrap/>
            <w:vAlign w:val="bottom"/>
            <w:hideMark/>
          </w:tcPr>
          <w:p w14:paraId="7BC62316" w14:textId="77777777" w:rsidR="00C36168" w:rsidRPr="00D870A6" w:rsidRDefault="00C36168" w:rsidP="00F65AAC">
            <w:pPr>
              <w:spacing w:after="0" w:line="240" w:lineRule="auto"/>
              <w:jc w:val="right"/>
              <w:rPr>
                <w:rFonts w:ascii="Tahoma" w:eastAsia="Times New Roman" w:hAnsi="Tahoma" w:cs="Tahoma"/>
                <w:color w:val="000000"/>
                <w:kern w:val="0"/>
                <w:lang w:eastAsia="es-ES"/>
                <w14:ligatures w14:val="none"/>
              </w:rPr>
            </w:pPr>
            <w:r>
              <w:rPr>
                <w:rFonts w:ascii="Tahoma" w:eastAsia="Times New Roman" w:hAnsi="Tahoma" w:cs="Tahoma"/>
                <w:color w:val="000000"/>
                <w:kern w:val="0"/>
                <w:lang w:eastAsia="es-ES"/>
                <w14:ligatures w14:val="none"/>
              </w:rPr>
              <w:t>5.827</w:t>
            </w:r>
          </w:p>
        </w:tc>
        <w:tc>
          <w:tcPr>
            <w:tcW w:w="1120" w:type="dxa"/>
            <w:tcBorders>
              <w:top w:val="single" w:sz="4" w:space="0" w:color="auto"/>
              <w:left w:val="nil"/>
              <w:bottom w:val="double" w:sz="6" w:space="0" w:color="auto"/>
              <w:right w:val="nil"/>
            </w:tcBorders>
            <w:noWrap/>
            <w:vAlign w:val="bottom"/>
            <w:hideMark/>
          </w:tcPr>
          <w:p w14:paraId="7B3CF854" w14:textId="77777777" w:rsidR="00C36168" w:rsidRPr="00D870A6" w:rsidRDefault="00C36168" w:rsidP="00F65AAC">
            <w:pPr>
              <w:spacing w:after="0" w:line="240" w:lineRule="auto"/>
              <w:jc w:val="right"/>
              <w:rPr>
                <w:rFonts w:ascii="Tahoma" w:eastAsia="Times New Roman" w:hAnsi="Tahoma" w:cs="Tahoma"/>
                <w:color w:val="000000"/>
                <w:kern w:val="0"/>
                <w:lang w:eastAsia="es-ES"/>
                <w14:ligatures w14:val="none"/>
              </w:rPr>
            </w:pPr>
            <w:r>
              <w:rPr>
                <w:rFonts w:ascii="Tahoma" w:eastAsia="Times New Roman" w:hAnsi="Tahoma" w:cs="Tahoma"/>
                <w:color w:val="000000"/>
                <w:kern w:val="0"/>
                <w:lang w:eastAsia="es-ES"/>
                <w14:ligatures w14:val="none"/>
              </w:rPr>
              <w:t>10.263</w:t>
            </w:r>
          </w:p>
        </w:tc>
        <w:tc>
          <w:tcPr>
            <w:tcW w:w="1120" w:type="dxa"/>
            <w:tcBorders>
              <w:top w:val="single" w:sz="4" w:space="0" w:color="auto"/>
              <w:left w:val="nil"/>
              <w:bottom w:val="double" w:sz="6" w:space="0" w:color="auto"/>
              <w:right w:val="nil"/>
            </w:tcBorders>
            <w:noWrap/>
            <w:vAlign w:val="bottom"/>
            <w:hideMark/>
          </w:tcPr>
          <w:p w14:paraId="6D0F99BC" w14:textId="77777777" w:rsidR="00C36168" w:rsidRPr="00D870A6" w:rsidRDefault="00C36168" w:rsidP="00F65AAC">
            <w:pPr>
              <w:spacing w:after="0" w:line="240" w:lineRule="auto"/>
              <w:jc w:val="right"/>
              <w:rPr>
                <w:rFonts w:ascii="Tahoma" w:eastAsia="Times New Roman" w:hAnsi="Tahoma" w:cs="Tahoma"/>
                <w:color w:val="000000"/>
                <w:kern w:val="0"/>
                <w:lang w:eastAsia="es-ES"/>
                <w14:ligatures w14:val="none"/>
              </w:rPr>
            </w:pPr>
            <w:r>
              <w:rPr>
                <w:rFonts w:ascii="Tahoma" w:eastAsia="Times New Roman" w:hAnsi="Tahoma" w:cs="Tahoma"/>
                <w:color w:val="000000"/>
                <w:kern w:val="0"/>
                <w:lang w:eastAsia="es-ES"/>
                <w14:ligatures w14:val="none"/>
              </w:rPr>
              <w:t>8.045</w:t>
            </w:r>
          </w:p>
        </w:tc>
      </w:tr>
    </w:tbl>
    <w:p w14:paraId="6169A1E7" w14:textId="77777777" w:rsidR="00C36168" w:rsidRPr="00FF7433" w:rsidRDefault="00C36168" w:rsidP="00C36168">
      <w:pPr>
        <w:autoSpaceDE w:val="0"/>
        <w:autoSpaceDN w:val="0"/>
        <w:adjustRightInd w:val="0"/>
        <w:spacing w:after="0" w:line="240" w:lineRule="auto"/>
        <w:jc w:val="both"/>
        <w:rPr>
          <w:rFonts w:ascii="Tahoma" w:hAnsi="Tahoma" w:cs="Tahoma"/>
          <w:color w:val="000000"/>
          <w:kern w:val="0"/>
        </w:rPr>
      </w:pPr>
    </w:p>
    <w:p w14:paraId="2C74F62F" w14:textId="77777777" w:rsidR="00C36168" w:rsidRPr="00DB5FB7" w:rsidRDefault="00C36168" w:rsidP="00C36168">
      <w:pPr>
        <w:autoSpaceDE w:val="0"/>
        <w:autoSpaceDN w:val="0"/>
        <w:adjustRightInd w:val="0"/>
        <w:spacing w:after="120" w:line="240" w:lineRule="auto"/>
        <w:jc w:val="both"/>
        <w:rPr>
          <w:rFonts w:ascii="Tahoma" w:hAnsi="Tahoma" w:cs="Tahoma"/>
          <w:b/>
          <w:bCs/>
          <w:color w:val="626A1A" w:themeColor="accent3" w:themeShade="80"/>
          <w:kern w:val="0"/>
        </w:rPr>
      </w:pPr>
      <w:r w:rsidRPr="00DB5FB7">
        <w:rPr>
          <w:rFonts w:ascii="Tahoma" w:hAnsi="Tahoma" w:cs="Tahoma"/>
          <w:b/>
          <w:bCs/>
          <w:color w:val="626A1A" w:themeColor="accent3" w:themeShade="80"/>
          <w:kern w:val="0"/>
        </w:rPr>
        <w:t>4.4. Deterioro del valor de los activos financieros.</w:t>
      </w:r>
    </w:p>
    <w:p w14:paraId="1E1525B2" w14:textId="77777777" w:rsidR="00C36168" w:rsidRPr="00FF7433" w:rsidRDefault="00C36168" w:rsidP="00C36168">
      <w:pPr>
        <w:autoSpaceDE w:val="0"/>
        <w:autoSpaceDN w:val="0"/>
        <w:adjustRightInd w:val="0"/>
        <w:spacing w:after="120" w:line="240" w:lineRule="auto"/>
        <w:jc w:val="both"/>
        <w:rPr>
          <w:rFonts w:ascii="Tahoma" w:hAnsi="Tahoma" w:cs="Tahoma"/>
          <w:color w:val="000000"/>
          <w:kern w:val="0"/>
        </w:rPr>
      </w:pPr>
      <w:r w:rsidRPr="00FF7433">
        <w:rPr>
          <w:rFonts w:ascii="Tahoma" w:hAnsi="Tahoma" w:cs="Tahoma"/>
          <w:color w:val="000000"/>
          <w:kern w:val="0"/>
        </w:rPr>
        <w:t>Con la incorporación de la Circular 4/2017 se ha incluido el modelo de deterioro de</w:t>
      </w:r>
      <w:r>
        <w:rPr>
          <w:rFonts w:ascii="Tahoma" w:hAnsi="Tahoma" w:cs="Tahoma"/>
          <w:color w:val="000000"/>
          <w:kern w:val="0"/>
        </w:rPr>
        <w:t xml:space="preserve"> </w:t>
      </w:r>
      <w:r w:rsidRPr="00FF7433">
        <w:rPr>
          <w:rFonts w:ascii="Tahoma" w:hAnsi="Tahoma" w:cs="Tahoma"/>
          <w:color w:val="000000"/>
          <w:kern w:val="0"/>
        </w:rPr>
        <w:t>amortizado y a los activos financieros valorados a valor razonable con cambios en</w:t>
      </w:r>
      <w:r>
        <w:rPr>
          <w:rFonts w:ascii="Tahoma" w:hAnsi="Tahoma" w:cs="Tahoma"/>
          <w:color w:val="000000"/>
          <w:kern w:val="0"/>
        </w:rPr>
        <w:t xml:space="preserve"> </w:t>
      </w:r>
      <w:r w:rsidRPr="00FF7433">
        <w:rPr>
          <w:rFonts w:ascii="Tahoma" w:hAnsi="Tahoma" w:cs="Tahoma"/>
          <w:color w:val="000000"/>
          <w:kern w:val="0"/>
        </w:rPr>
        <w:t>otro resultado global acumulado, excepto para las inversiones en instrumentos de</w:t>
      </w:r>
      <w:r>
        <w:rPr>
          <w:rFonts w:ascii="Tahoma" w:hAnsi="Tahoma" w:cs="Tahoma"/>
          <w:color w:val="000000"/>
          <w:kern w:val="0"/>
        </w:rPr>
        <w:t xml:space="preserve"> </w:t>
      </w:r>
      <w:r w:rsidRPr="00FF7433">
        <w:rPr>
          <w:rFonts w:ascii="Tahoma" w:hAnsi="Tahoma" w:cs="Tahoma"/>
          <w:color w:val="000000"/>
          <w:kern w:val="0"/>
        </w:rPr>
        <w:t>patrimonio; y a los contratos de garantías financieras y compromisos de préstamo</w:t>
      </w:r>
      <w:r>
        <w:rPr>
          <w:rFonts w:ascii="Tahoma" w:hAnsi="Tahoma" w:cs="Tahoma"/>
          <w:color w:val="000000"/>
          <w:kern w:val="0"/>
        </w:rPr>
        <w:t xml:space="preserve"> </w:t>
      </w:r>
      <w:r w:rsidRPr="00FF7433">
        <w:rPr>
          <w:rFonts w:ascii="Tahoma" w:hAnsi="Tahoma" w:cs="Tahoma"/>
          <w:color w:val="000000"/>
          <w:kern w:val="0"/>
        </w:rPr>
        <w:t>irrevocables por la Sociedad. Igualmente, se excluyen del modelo de deterioro</w:t>
      </w:r>
      <w:r>
        <w:rPr>
          <w:rFonts w:ascii="Tahoma" w:hAnsi="Tahoma" w:cs="Tahoma"/>
          <w:color w:val="000000"/>
          <w:kern w:val="0"/>
        </w:rPr>
        <w:t xml:space="preserve"> </w:t>
      </w:r>
      <w:r w:rsidRPr="00FF7433">
        <w:rPr>
          <w:rFonts w:ascii="Tahoma" w:hAnsi="Tahoma" w:cs="Tahoma"/>
          <w:color w:val="000000"/>
          <w:kern w:val="0"/>
        </w:rPr>
        <w:t>todos los instrumentos financieros valorados a valor razonable con cambio en</w:t>
      </w:r>
      <w:r>
        <w:rPr>
          <w:rFonts w:ascii="Tahoma" w:hAnsi="Tahoma" w:cs="Tahoma"/>
          <w:color w:val="000000"/>
          <w:kern w:val="0"/>
        </w:rPr>
        <w:t xml:space="preserve"> </w:t>
      </w:r>
      <w:r w:rsidRPr="00FF7433">
        <w:rPr>
          <w:rFonts w:ascii="Tahoma" w:hAnsi="Tahoma" w:cs="Tahoma"/>
          <w:color w:val="000000"/>
          <w:kern w:val="0"/>
        </w:rPr>
        <w:t>resultados.</w:t>
      </w:r>
    </w:p>
    <w:p w14:paraId="2C53CF1E" w14:textId="77777777" w:rsidR="00C36168" w:rsidRPr="00FF7433" w:rsidRDefault="00C36168" w:rsidP="00C36168">
      <w:pPr>
        <w:autoSpaceDE w:val="0"/>
        <w:autoSpaceDN w:val="0"/>
        <w:adjustRightInd w:val="0"/>
        <w:spacing w:after="120" w:line="240" w:lineRule="auto"/>
        <w:jc w:val="both"/>
        <w:rPr>
          <w:rFonts w:ascii="Tahoma" w:hAnsi="Tahoma" w:cs="Tahoma"/>
          <w:color w:val="000000"/>
          <w:kern w:val="0"/>
        </w:rPr>
      </w:pPr>
      <w:r w:rsidRPr="00FF7433">
        <w:rPr>
          <w:rFonts w:ascii="Tahoma" w:hAnsi="Tahoma" w:cs="Tahoma"/>
          <w:color w:val="000000"/>
          <w:kern w:val="0"/>
        </w:rPr>
        <w:t>Las exposiciones crediticias se clasifican en función del riesgo de crédito, en las</w:t>
      </w:r>
      <w:r>
        <w:rPr>
          <w:rFonts w:ascii="Tahoma" w:hAnsi="Tahoma" w:cs="Tahoma"/>
          <w:color w:val="000000"/>
          <w:kern w:val="0"/>
        </w:rPr>
        <w:t xml:space="preserve"> </w:t>
      </w:r>
      <w:r w:rsidRPr="00FF7433">
        <w:rPr>
          <w:rFonts w:ascii="Tahoma" w:hAnsi="Tahoma" w:cs="Tahoma"/>
          <w:color w:val="000000"/>
          <w:kern w:val="0"/>
        </w:rPr>
        <w:t>siguientes categorías: riesgo normal, riesgo normal en vigilancia especial, riesgo</w:t>
      </w:r>
      <w:r>
        <w:rPr>
          <w:rFonts w:ascii="Tahoma" w:hAnsi="Tahoma" w:cs="Tahoma"/>
          <w:color w:val="000000"/>
          <w:kern w:val="0"/>
        </w:rPr>
        <w:t xml:space="preserve"> </w:t>
      </w:r>
      <w:r w:rsidRPr="00FF7433">
        <w:rPr>
          <w:rFonts w:ascii="Tahoma" w:hAnsi="Tahoma" w:cs="Tahoma"/>
          <w:color w:val="000000"/>
          <w:kern w:val="0"/>
        </w:rPr>
        <w:t>dudoso por razón de la morosidad del cliente, riesgo dudoso por razones distintas</w:t>
      </w:r>
      <w:r>
        <w:rPr>
          <w:rFonts w:ascii="Tahoma" w:hAnsi="Tahoma" w:cs="Tahoma"/>
          <w:color w:val="000000"/>
          <w:kern w:val="0"/>
        </w:rPr>
        <w:t xml:space="preserve"> </w:t>
      </w:r>
      <w:r w:rsidRPr="00FF7433">
        <w:rPr>
          <w:rFonts w:ascii="Tahoma" w:hAnsi="Tahoma" w:cs="Tahoma"/>
          <w:color w:val="000000"/>
          <w:kern w:val="0"/>
        </w:rPr>
        <w:t>de la morosidad del cliente y riesgo fallido, siguiendo los criterios descritos a</w:t>
      </w:r>
      <w:r>
        <w:rPr>
          <w:rFonts w:ascii="Tahoma" w:hAnsi="Tahoma" w:cs="Tahoma"/>
          <w:color w:val="000000"/>
          <w:kern w:val="0"/>
        </w:rPr>
        <w:t xml:space="preserve"> </w:t>
      </w:r>
      <w:r w:rsidRPr="00FF7433">
        <w:rPr>
          <w:rFonts w:ascii="Tahoma" w:hAnsi="Tahoma" w:cs="Tahoma"/>
          <w:color w:val="000000"/>
          <w:kern w:val="0"/>
        </w:rPr>
        <w:t>continuación:</w:t>
      </w:r>
    </w:p>
    <w:p w14:paraId="263D873E" w14:textId="77777777" w:rsidR="00C36168" w:rsidRPr="00FF7433" w:rsidRDefault="00C36168" w:rsidP="00C36168">
      <w:pPr>
        <w:autoSpaceDE w:val="0"/>
        <w:autoSpaceDN w:val="0"/>
        <w:adjustRightInd w:val="0"/>
        <w:spacing w:after="0" w:line="240" w:lineRule="auto"/>
        <w:jc w:val="both"/>
        <w:rPr>
          <w:rFonts w:ascii="Tahoma" w:hAnsi="Tahoma" w:cs="Tahoma"/>
          <w:color w:val="000000"/>
          <w:kern w:val="0"/>
        </w:rPr>
      </w:pPr>
      <w:r w:rsidRPr="00FF7433">
        <w:rPr>
          <w:rFonts w:ascii="Tahoma" w:hAnsi="Tahoma" w:cs="Tahoma"/>
          <w:color w:val="000000"/>
          <w:kern w:val="0"/>
        </w:rPr>
        <w:t>a) Riesgo normal (fase 1). Comprende aquellas operaciones para las que su</w:t>
      </w:r>
      <w:r>
        <w:rPr>
          <w:rFonts w:ascii="Tahoma" w:hAnsi="Tahoma" w:cs="Tahoma"/>
          <w:color w:val="000000"/>
          <w:kern w:val="0"/>
        </w:rPr>
        <w:t xml:space="preserve"> </w:t>
      </w:r>
      <w:r w:rsidRPr="00FF7433">
        <w:rPr>
          <w:rFonts w:ascii="Tahoma" w:hAnsi="Tahoma" w:cs="Tahoma"/>
          <w:color w:val="000000"/>
          <w:kern w:val="0"/>
        </w:rPr>
        <w:t>riesgo de crédito no ha aumentado significativamente desde su reconocimiento</w:t>
      </w:r>
      <w:r>
        <w:rPr>
          <w:rFonts w:ascii="Tahoma" w:hAnsi="Tahoma" w:cs="Tahoma"/>
          <w:color w:val="000000"/>
          <w:kern w:val="0"/>
        </w:rPr>
        <w:t xml:space="preserve"> </w:t>
      </w:r>
      <w:r w:rsidRPr="00FF7433">
        <w:rPr>
          <w:rFonts w:ascii="Tahoma" w:hAnsi="Tahoma" w:cs="Tahoma"/>
          <w:color w:val="000000"/>
          <w:kern w:val="0"/>
        </w:rPr>
        <w:t>inicial. La cobertura por deterioro será igual a las pérdidas crediticias esperadas en</w:t>
      </w:r>
      <w:r>
        <w:rPr>
          <w:rFonts w:ascii="Tahoma" w:hAnsi="Tahoma" w:cs="Tahoma"/>
          <w:color w:val="000000"/>
          <w:kern w:val="0"/>
        </w:rPr>
        <w:t xml:space="preserve"> </w:t>
      </w:r>
      <w:r w:rsidRPr="00FF7433">
        <w:rPr>
          <w:rFonts w:ascii="Tahoma" w:hAnsi="Tahoma" w:cs="Tahoma"/>
          <w:color w:val="000000"/>
          <w:kern w:val="0"/>
        </w:rPr>
        <w:t>doce meses. Los ingresos por intereses se calcularán aplicando el tipo de interés</w:t>
      </w:r>
      <w:r>
        <w:rPr>
          <w:rFonts w:ascii="Tahoma" w:hAnsi="Tahoma" w:cs="Tahoma"/>
          <w:color w:val="000000"/>
          <w:kern w:val="0"/>
        </w:rPr>
        <w:t xml:space="preserve"> </w:t>
      </w:r>
      <w:r w:rsidRPr="00FF7433">
        <w:rPr>
          <w:rFonts w:ascii="Tahoma" w:hAnsi="Tahoma" w:cs="Tahoma"/>
          <w:color w:val="000000"/>
          <w:kern w:val="0"/>
        </w:rPr>
        <w:t>efectivo al importe en libros bruto de la operación.</w:t>
      </w:r>
    </w:p>
    <w:p w14:paraId="217A2B18" w14:textId="77777777" w:rsidR="00C36168" w:rsidRPr="00FF7433" w:rsidRDefault="00C36168" w:rsidP="00C36168">
      <w:pPr>
        <w:autoSpaceDE w:val="0"/>
        <w:autoSpaceDN w:val="0"/>
        <w:adjustRightInd w:val="0"/>
        <w:spacing w:after="120" w:line="240" w:lineRule="auto"/>
        <w:jc w:val="both"/>
        <w:rPr>
          <w:rFonts w:ascii="Tahoma" w:hAnsi="Tahoma" w:cs="Tahoma"/>
          <w:color w:val="000000"/>
          <w:kern w:val="0"/>
        </w:rPr>
      </w:pPr>
      <w:r w:rsidRPr="00FF7433">
        <w:rPr>
          <w:rFonts w:ascii="Tahoma" w:hAnsi="Tahoma" w:cs="Tahoma"/>
          <w:color w:val="000000"/>
          <w:kern w:val="0"/>
        </w:rPr>
        <w:t>b) Riesgo normal en vigilancia especial (fase 2). Comprende aquellas</w:t>
      </w:r>
      <w:r>
        <w:rPr>
          <w:rFonts w:ascii="Tahoma" w:hAnsi="Tahoma" w:cs="Tahoma"/>
          <w:color w:val="000000"/>
          <w:kern w:val="0"/>
        </w:rPr>
        <w:t xml:space="preserve"> </w:t>
      </w:r>
      <w:r w:rsidRPr="00FF7433">
        <w:rPr>
          <w:rFonts w:ascii="Tahoma" w:hAnsi="Tahoma" w:cs="Tahoma"/>
          <w:color w:val="000000"/>
          <w:kern w:val="0"/>
        </w:rPr>
        <w:t>operaciones para las que su riesgo de crédito ha aumentado significativamente desde su reconocimiento inicial, pero no presentan un evento de</w:t>
      </w:r>
      <w:r>
        <w:rPr>
          <w:rFonts w:ascii="Tahoma" w:hAnsi="Tahoma" w:cs="Tahoma"/>
          <w:color w:val="000000"/>
          <w:kern w:val="0"/>
        </w:rPr>
        <w:t xml:space="preserve"> </w:t>
      </w:r>
      <w:r w:rsidRPr="00FF7433">
        <w:rPr>
          <w:rFonts w:ascii="Tahoma" w:hAnsi="Tahoma" w:cs="Tahoma"/>
          <w:color w:val="000000"/>
          <w:kern w:val="0"/>
        </w:rPr>
        <w:t>incumplimiento. La cobertura por deterioro será igual a las pérdidas crediticias</w:t>
      </w:r>
      <w:r>
        <w:rPr>
          <w:rFonts w:ascii="Tahoma" w:hAnsi="Tahoma" w:cs="Tahoma"/>
          <w:color w:val="000000"/>
          <w:kern w:val="0"/>
        </w:rPr>
        <w:t xml:space="preserve"> </w:t>
      </w:r>
      <w:r w:rsidRPr="00FF7433">
        <w:rPr>
          <w:rFonts w:ascii="Tahoma" w:hAnsi="Tahoma" w:cs="Tahoma"/>
          <w:color w:val="000000"/>
          <w:kern w:val="0"/>
        </w:rPr>
        <w:t xml:space="preserve">esperadas en la vida de la operación. Los ingresos por </w:t>
      </w:r>
      <w:r w:rsidRPr="00FF7433">
        <w:rPr>
          <w:rFonts w:ascii="Tahoma" w:hAnsi="Tahoma" w:cs="Tahoma"/>
          <w:color w:val="000000"/>
          <w:kern w:val="0"/>
        </w:rPr>
        <w:lastRenderedPageBreak/>
        <w:t>intereses se calcularán</w:t>
      </w:r>
      <w:r>
        <w:rPr>
          <w:rFonts w:ascii="Tahoma" w:hAnsi="Tahoma" w:cs="Tahoma"/>
          <w:color w:val="000000"/>
          <w:kern w:val="0"/>
        </w:rPr>
        <w:t xml:space="preserve"> </w:t>
      </w:r>
      <w:r w:rsidRPr="00FF7433">
        <w:rPr>
          <w:rFonts w:ascii="Tahoma" w:hAnsi="Tahoma" w:cs="Tahoma"/>
          <w:color w:val="000000"/>
          <w:kern w:val="0"/>
        </w:rPr>
        <w:t>aplicando el tipo de interés efectivo al importe en libros bruto de la operación.</w:t>
      </w:r>
    </w:p>
    <w:p w14:paraId="66D3FBD4" w14:textId="77777777" w:rsidR="00C36168" w:rsidRPr="00FF7433" w:rsidRDefault="00C36168" w:rsidP="00C36168">
      <w:pPr>
        <w:autoSpaceDE w:val="0"/>
        <w:autoSpaceDN w:val="0"/>
        <w:adjustRightInd w:val="0"/>
        <w:spacing w:after="0" w:line="240" w:lineRule="auto"/>
        <w:jc w:val="both"/>
        <w:rPr>
          <w:rFonts w:ascii="Tahoma" w:hAnsi="Tahoma" w:cs="Tahoma"/>
          <w:color w:val="000000"/>
          <w:kern w:val="0"/>
        </w:rPr>
      </w:pPr>
      <w:r w:rsidRPr="00FF7433">
        <w:rPr>
          <w:rFonts w:ascii="Tahoma" w:hAnsi="Tahoma" w:cs="Tahoma"/>
          <w:color w:val="000000"/>
          <w:kern w:val="0"/>
        </w:rPr>
        <w:t>c) Riesgo dudoso (fase 3). Comprende aquellas operaciones con deterioro</w:t>
      </w:r>
      <w:r>
        <w:rPr>
          <w:rFonts w:ascii="Tahoma" w:hAnsi="Tahoma" w:cs="Tahoma"/>
          <w:color w:val="000000"/>
          <w:kern w:val="0"/>
        </w:rPr>
        <w:t xml:space="preserve"> </w:t>
      </w:r>
      <w:r w:rsidRPr="00FF7433">
        <w:rPr>
          <w:rFonts w:ascii="Tahoma" w:hAnsi="Tahoma" w:cs="Tahoma"/>
          <w:color w:val="000000"/>
          <w:kern w:val="0"/>
        </w:rPr>
        <w:t>crediticio, esto es, que presentan un evento de incumplimiento. La cobertura será</w:t>
      </w:r>
      <w:r>
        <w:rPr>
          <w:rFonts w:ascii="Tahoma" w:hAnsi="Tahoma" w:cs="Tahoma"/>
          <w:color w:val="000000"/>
          <w:kern w:val="0"/>
        </w:rPr>
        <w:t xml:space="preserve"> </w:t>
      </w:r>
      <w:r w:rsidRPr="00FF7433">
        <w:rPr>
          <w:rFonts w:ascii="Tahoma" w:hAnsi="Tahoma" w:cs="Tahoma"/>
          <w:color w:val="000000"/>
          <w:kern w:val="0"/>
        </w:rPr>
        <w:t>igual a las pérdidas crediticias esperadas. Los ingresos por intereses se calcularán aplicando el tipo de interés efectivo al</w:t>
      </w:r>
      <w:r>
        <w:rPr>
          <w:rFonts w:ascii="Tahoma" w:hAnsi="Tahoma" w:cs="Tahoma"/>
          <w:color w:val="000000"/>
          <w:kern w:val="0"/>
        </w:rPr>
        <w:t xml:space="preserve"> </w:t>
      </w:r>
      <w:r w:rsidRPr="00FF7433">
        <w:rPr>
          <w:rFonts w:ascii="Tahoma" w:hAnsi="Tahoma" w:cs="Tahoma"/>
          <w:color w:val="000000"/>
          <w:kern w:val="0"/>
        </w:rPr>
        <w:t>coste amortizado (esto es, ajustado por cualquier corrección de valor por</w:t>
      </w:r>
    </w:p>
    <w:p w14:paraId="6D70D220" w14:textId="77777777" w:rsidR="00C36168" w:rsidRPr="00FF7433" w:rsidRDefault="00C36168" w:rsidP="00C36168">
      <w:pPr>
        <w:autoSpaceDE w:val="0"/>
        <w:autoSpaceDN w:val="0"/>
        <w:adjustRightInd w:val="0"/>
        <w:spacing w:after="120" w:line="240" w:lineRule="auto"/>
        <w:jc w:val="both"/>
        <w:rPr>
          <w:rFonts w:ascii="Tahoma" w:hAnsi="Tahoma" w:cs="Tahoma"/>
          <w:color w:val="000000"/>
          <w:kern w:val="0"/>
        </w:rPr>
      </w:pPr>
      <w:r w:rsidRPr="00FF7433">
        <w:rPr>
          <w:rFonts w:ascii="Tahoma" w:hAnsi="Tahoma" w:cs="Tahoma"/>
          <w:color w:val="000000"/>
          <w:kern w:val="0"/>
        </w:rPr>
        <w:t>deterioro) del activo financiero.</w:t>
      </w:r>
    </w:p>
    <w:p w14:paraId="1C39F4DD" w14:textId="77777777" w:rsidR="00C36168" w:rsidRPr="00FF7433" w:rsidRDefault="00C36168" w:rsidP="00C36168">
      <w:pPr>
        <w:autoSpaceDE w:val="0"/>
        <w:autoSpaceDN w:val="0"/>
        <w:adjustRightInd w:val="0"/>
        <w:spacing w:after="120" w:line="240" w:lineRule="auto"/>
        <w:jc w:val="both"/>
        <w:rPr>
          <w:rFonts w:ascii="Tahoma" w:hAnsi="Tahoma" w:cs="Tahoma"/>
          <w:color w:val="000000"/>
          <w:kern w:val="0"/>
        </w:rPr>
      </w:pPr>
      <w:r w:rsidRPr="00FF7433">
        <w:rPr>
          <w:rFonts w:ascii="Tahoma" w:hAnsi="Tahoma" w:cs="Tahoma"/>
          <w:color w:val="000000"/>
          <w:kern w:val="0"/>
        </w:rPr>
        <w:t>d) Riesgo fallido. En esta categoría se incluirán las operaciones para las que</w:t>
      </w:r>
      <w:r>
        <w:rPr>
          <w:rFonts w:ascii="Tahoma" w:hAnsi="Tahoma" w:cs="Tahoma"/>
          <w:color w:val="000000"/>
          <w:kern w:val="0"/>
        </w:rPr>
        <w:t xml:space="preserve"> </w:t>
      </w:r>
      <w:r w:rsidRPr="00FF7433">
        <w:rPr>
          <w:rFonts w:ascii="Tahoma" w:hAnsi="Tahoma" w:cs="Tahoma"/>
          <w:color w:val="000000"/>
          <w:kern w:val="0"/>
        </w:rPr>
        <w:t>no se tengan expectativas razonables de recuperación. La clasificación en esta</w:t>
      </w:r>
      <w:r>
        <w:rPr>
          <w:rFonts w:ascii="Tahoma" w:hAnsi="Tahoma" w:cs="Tahoma"/>
          <w:color w:val="000000"/>
          <w:kern w:val="0"/>
        </w:rPr>
        <w:t xml:space="preserve"> </w:t>
      </w:r>
      <w:r w:rsidRPr="00FF7433">
        <w:rPr>
          <w:rFonts w:ascii="Tahoma" w:hAnsi="Tahoma" w:cs="Tahoma"/>
          <w:color w:val="000000"/>
          <w:kern w:val="0"/>
        </w:rPr>
        <w:t>categoría llevará aparejados el reconocimiento en resultados de pérdidas por el</w:t>
      </w:r>
      <w:r>
        <w:rPr>
          <w:rFonts w:ascii="Tahoma" w:hAnsi="Tahoma" w:cs="Tahoma"/>
          <w:color w:val="000000"/>
          <w:kern w:val="0"/>
        </w:rPr>
        <w:t xml:space="preserve"> </w:t>
      </w:r>
      <w:r w:rsidRPr="00FF7433">
        <w:rPr>
          <w:rFonts w:ascii="Tahoma" w:hAnsi="Tahoma" w:cs="Tahoma"/>
          <w:color w:val="000000"/>
          <w:kern w:val="0"/>
        </w:rPr>
        <w:t>importe en libros de la operación y su baja total del activo.</w:t>
      </w:r>
    </w:p>
    <w:p w14:paraId="767370AA" w14:textId="77777777" w:rsidR="00C36168" w:rsidRPr="00FF7433" w:rsidRDefault="00C36168" w:rsidP="00C36168">
      <w:pPr>
        <w:autoSpaceDE w:val="0"/>
        <w:autoSpaceDN w:val="0"/>
        <w:adjustRightInd w:val="0"/>
        <w:spacing w:after="120" w:line="240" w:lineRule="auto"/>
        <w:jc w:val="both"/>
        <w:rPr>
          <w:rFonts w:ascii="Tahoma" w:hAnsi="Tahoma" w:cs="Tahoma"/>
          <w:color w:val="000000"/>
          <w:kern w:val="0"/>
        </w:rPr>
      </w:pPr>
      <w:r w:rsidRPr="00FF7433">
        <w:rPr>
          <w:rFonts w:ascii="Tahoma" w:hAnsi="Tahoma" w:cs="Tahoma"/>
          <w:color w:val="000000"/>
          <w:kern w:val="0"/>
        </w:rPr>
        <w:t>Así de acuerdo con el modelo interno de la Sociedad, y tal como establece la</w:t>
      </w:r>
      <w:r>
        <w:rPr>
          <w:rFonts w:ascii="Tahoma" w:hAnsi="Tahoma" w:cs="Tahoma"/>
          <w:color w:val="000000"/>
          <w:kern w:val="0"/>
        </w:rPr>
        <w:t xml:space="preserve"> </w:t>
      </w:r>
      <w:r w:rsidRPr="00FF7433">
        <w:rPr>
          <w:rFonts w:ascii="Tahoma" w:hAnsi="Tahoma" w:cs="Tahoma"/>
          <w:color w:val="000000"/>
          <w:kern w:val="0"/>
        </w:rPr>
        <w:t>normativa aplicable a la Sociedad se diferencia entre los siguientes conceptos de</w:t>
      </w:r>
      <w:r>
        <w:rPr>
          <w:rFonts w:ascii="Tahoma" w:hAnsi="Tahoma" w:cs="Tahoma"/>
          <w:color w:val="000000"/>
          <w:kern w:val="0"/>
        </w:rPr>
        <w:t xml:space="preserve"> </w:t>
      </w:r>
      <w:r w:rsidRPr="00FF7433">
        <w:rPr>
          <w:rFonts w:ascii="Tahoma" w:hAnsi="Tahoma" w:cs="Tahoma"/>
          <w:color w:val="000000"/>
          <w:kern w:val="0"/>
        </w:rPr>
        <w:t>pérdida esperada:</w:t>
      </w:r>
    </w:p>
    <w:p w14:paraId="45B6144E" w14:textId="77777777" w:rsidR="00C36168" w:rsidRPr="00DB5FB7" w:rsidRDefault="00C36168" w:rsidP="00C36168">
      <w:pPr>
        <w:autoSpaceDE w:val="0"/>
        <w:autoSpaceDN w:val="0"/>
        <w:adjustRightInd w:val="0"/>
        <w:spacing w:after="120" w:line="240" w:lineRule="auto"/>
        <w:jc w:val="both"/>
        <w:rPr>
          <w:rFonts w:ascii="Tahoma" w:hAnsi="Tahoma" w:cs="Tahoma"/>
          <w:color w:val="000000"/>
          <w:kern w:val="0"/>
        </w:rPr>
      </w:pPr>
      <w:r>
        <w:rPr>
          <w:rFonts w:ascii="Tahoma" w:hAnsi="Tahoma" w:cs="Tahoma"/>
          <w:color w:val="000000"/>
          <w:kern w:val="0"/>
        </w:rPr>
        <w:t>-</w:t>
      </w:r>
      <w:r>
        <w:rPr>
          <w:rFonts w:ascii="Tahoma" w:hAnsi="Tahoma" w:cs="Tahoma"/>
          <w:color w:val="000000"/>
          <w:kern w:val="0"/>
        </w:rPr>
        <w:tab/>
      </w:r>
      <w:r w:rsidRPr="00DB5FB7">
        <w:rPr>
          <w:rFonts w:ascii="Tahoma" w:hAnsi="Tahoma" w:cs="Tahoma"/>
          <w:color w:val="000000"/>
          <w:kern w:val="0"/>
        </w:rPr>
        <w:t>Pérdida esperada a 12 meses: son las pérdidas de crédito esperadas que resultan de posibles eventos de incumplimiento dentro de los 12 meses posteriores a la fecha de presentación de los estados financieros; y</w:t>
      </w:r>
    </w:p>
    <w:p w14:paraId="7535D990" w14:textId="77777777" w:rsidR="00C36168" w:rsidRPr="00DB5FB7" w:rsidRDefault="00C36168" w:rsidP="00C36168">
      <w:pPr>
        <w:autoSpaceDE w:val="0"/>
        <w:autoSpaceDN w:val="0"/>
        <w:adjustRightInd w:val="0"/>
        <w:spacing w:after="120" w:line="240" w:lineRule="auto"/>
        <w:jc w:val="both"/>
        <w:rPr>
          <w:rFonts w:ascii="Tahoma" w:hAnsi="Tahoma" w:cs="Tahoma"/>
          <w:color w:val="000000"/>
          <w:kern w:val="0"/>
        </w:rPr>
      </w:pPr>
      <w:r>
        <w:rPr>
          <w:rFonts w:ascii="Tahoma" w:hAnsi="Tahoma" w:cs="Tahoma"/>
          <w:color w:val="000000"/>
          <w:kern w:val="0"/>
        </w:rPr>
        <w:t>-</w:t>
      </w:r>
      <w:r>
        <w:rPr>
          <w:rFonts w:ascii="Tahoma" w:hAnsi="Tahoma" w:cs="Tahoma"/>
          <w:color w:val="000000"/>
          <w:kern w:val="0"/>
        </w:rPr>
        <w:tab/>
      </w:r>
      <w:r w:rsidRPr="00DB5FB7">
        <w:rPr>
          <w:rFonts w:ascii="Tahoma" w:hAnsi="Tahoma" w:cs="Tahoma"/>
          <w:color w:val="000000"/>
          <w:kern w:val="0"/>
        </w:rPr>
        <w:t>Pérdida esperada a lo largo de la vida de toda la operación: son las pérdidas de crédito esperadas que resultan de todos los posibles eventos de incumplimiento durante la vida esperada del instrumento financiero.</w:t>
      </w:r>
    </w:p>
    <w:p w14:paraId="2DE8525D" w14:textId="77777777" w:rsidR="00C36168" w:rsidRPr="00DB5FB7" w:rsidRDefault="00C36168" w:rsidP="00C36168">
      <w:pPr>
        <w:autoSpaceDE w:val="0"/>
        <w:autoSpaceDN w:val="0"/>
        <w:adjustRightInd w:val="0"/>
        <w:spacing w:after="120" w:line="240" w:lineRule="auto"/>
        <w:jc w:val="both"/>
        <w:rPr>
          <w:rFonts w:ascii="Tahoma" w:hAnsi="Tahoma" w:cs="Tahoma"/>
          <w:b/>
          <w:bCs/>
          <w:color w:val="626A1A" w:themeColor="accent3" w:themeShade="80"/>
          <w:kern w:val="0"/>
        </w:rPr>
      </w:pPr>
      <w:r w:rsidRPr="00DB5FB7">
        <w:rPr>
          <w:rFonts w:ascii="Tahoma" w:hAnsi="Tahoma" w:cs="Tahoma"/>
          <w:b/>
          <w:bCs/>
          <w:color w:val="626A1A" w:themeColor="accent3" w:themeShade="80"/>
          <w:kern w:val="0"/>
        </w:rPr>
        <w:t>4.5. Métodos utilizados para la determinación de correcciones de valor por deterioro de activos, provisiones por riesgos y activos contingentes.</w:t>
      </w:r>
    </w:p>
    <w:p w14:paraId="44AC86BD" w14:textId="77777777" w:rsidR="00C36168" w:rsidRPr="00FF7433" w:rsidRDefault="00C36168" w:rsidP="00C36168">
      <w:pPr>
        <w:autoSpaceDE w:val="0"/>
        <w:autoSpaceDN w:val="0"/>
        <w:adjustRightInd w:val="0"/>
        <w:spacing w:after="0" w:line="240" w:lineRule="auto"/>
        <w:jc w:val="both"/>
        <w:rPr>
          <w:rFonts w:ascii="Tahoma" w:hAnsi="Tahoma" w:cs="Tahoma"/>
          <w:color w:val="000000"/>
          <w:kern w:val="0"/>
        </w:rPr>
      </w:pPr>
      <w:r w:rsidRPr="00FF7433">
        <w:rPr>
          <w:rFonts w:ascii="Tahoma" w:hAnsi="Tahoma" w:cs="Tahoma"/>
          <w:color w:val="000000"/>
          <w:kern w:val="0"/>
        </w:rPr>
        <w:t>La Entidad ha utilizado los parámetros establecidos por Banco de España, sobre la</w:t>
      </w:r>
      <w:r>
        <w:rPr>
          <w:rFonts w:ascii="Tahoma" w:hAnsi="Tahoma" w:cs="Tahoma"/>
          <w:color w:val="000000"/>
          <w:kern w:val="0"/>
        </w:rPr>
        <w:t xml:space="preserve"> </w:t>
      </w:r>
      <w:r w:rsidRPr="00FF7433">
        <w:rPr>
          <w:rFonts w:ascii="Tahoma" w:hAnsi="Tahoma" w:cs="Tahoma"/>
          <w:color w:val="000000"/>
          <w:kern w:val="0"/>
        </w:rPr>
        <w:t>base de su experiencia y de la información que tiene del sector así como de las</w:t>
      </w:r>
      <w:r>
        <w:rPr>
          <w:rFonts w:ascii="Tahoma" w:hAnsi="Tahoma" w:cs="Tahoma"/>
          <w:color w:val="000000"/>
          <w:kern w:val="0"/>
        </w:rPr>
        <w:t xml:space="preserve"> </w:t>
      </w:r>
      <w:r w:rsidRPr="00FF7433">
        <w:rPr>
          <w:rFonts w:ascii="Tahoma" w:hAnsi="Tahoma" w:cs="Tahoma"/>
          <w:color w:val="000000"/>
          <w:kern w:val="0"/>
        </w:rPr>
        <w:t>previsiones sobre condiciones futuras, que determinan el método e importe a</w:t>
      </w:r>
      <w:r>
        <w:rPr>
          <w:rFonts w:ascii="Tahoma" w:hAnsi="Tahoma" w:cs="Tahoma"/>
          <w:color w:val="000000"/>
          <w:kern w:val="0"/>
        </w:rPr>
        <w:t xml:space="preserve"> </w:t>
      </w:r>
      <w:r w:rsidRPr="00FF7433">
        <w:rPr>
          <w:rFonts w:ascii="Tahoma" w:hAnsi="Tahoma" w:cs="Tahoma"/>
          <w:color w:val="000000"/>
          <w:kern w:val="0"/>
        </w:rPr>
        <w:t>utilizar para la cobertura de las pérdidas por deterioro inherentes incurridas en los</w:t>
      </w:r>
      <w:r>
        <w:rPr>
          <w:rFonts w:ascii="Tahoma" w:hAnsi="Tahoma" w:cs="Tahoma"/>
          <w:color w:val="000000"/>
          <w:kern w:val="0"/>
        </w:rPr>
        <w:t xml:space="preserve"> </w:t>
      </w:r>
      <w:r w:rsidRPr="00FF7433">
        <w:rPr>
          <w:rFonts w:ascii="Tahoma" w:hAnsi="Tahoma" w:cs="Tahoma"/>
          <w:color w:val="000000"/>
          <w:kern w:val="0"/>
        </w:rPr>
        <w:t>instrumentos de deuda y riesgos contingentes clasificados como riesgo normal,</w:t>
      </w:r>
      <w:r>
        <w:rPr>
          <w:rFonts w:ascii="Tahoma" w:hAnsi="Tahoma" w:cs="Tahoma"/>
          <w:color w:val="000000"/>
          <w:kern w:val="0"/>
        </w:rPr>
        <w:t xml:space="preserve"> </w:t>
      </w:r>
      <w:r w:rsidRPr="00FF7433">
        <w:rPr>
          <w:rFonts w:ascii="Tahoma" w:hAnsi="Tahoma" w:cs="Tahoma"/>
          <w:color w:val="000000"/>
          <w:kern w:val="0"/>
        </w:rPr>
        <w:t>riesgo normal en vigilancia especial y riesgo dudoso, que se modifican</w:t>
      </w:r>
      <w:r>
        <w:rPr>
          <w:rFonts w:ascii="Tahoma" w:hAnsi="Tahoma" w:cs="Tahoma"/>
          <w:color w:val="000000"/>
          <w:kern w:val="0"/>
        </w:rPr>
        <w:t xml:space="preserve"> </w:t>
      </w:r>
      <w:r w:rsidRPr="00FF7433">
        <w:rPr>
          <w:rFonts w:ascii="Tahoma" w:hAnsi="Tahoma" w:cs="Tahoma"/>
          <w:color w:val="000000"/>
          <w:kern w:val="0"/>
        </w:rPr>
        <w:t>periódicamente de acuerdo con la evolución de los datos mencionados. Dicho</w:t>
      </w:r>
      <w:r>
        <w:rPr>
          <w:rFonts w:ascii="Tahoma" w:hAnsi="Tahoma" w:cs="Tahoma"/>
          <w:color w:val="000000"/>
          <w:kern w:val="0"/>
        </w:rPr>
        <w:t xml:space="preserve"> </w:t>
      </w:r>
      <w:r w:rsidRPr="00FF7433">
        <w:rPr>
          <w:rFonts w:ascii="Tahoma" w:hAnsi="Tahoma" w:cs="Tahoma"/>
          <w:color w:val="000000"/>
          <w:kern w:val="0"/>
        </w:rPr>
        <w:t>método de determinación de la cobertura de las pérdidas por deterioro inherentes</w:t>
      </w:r>
      <w:r>
        <w:rPr>
          <w:rFonts w:ascii="Tahoma" w:hAnsi="Tahoma" w:cs="Tahoma"/>
          <w:color w:val="000000"/>
          <w:kern w:val="0"/>
        </w:rPr>
        <w:t xml:space="preserve"> </w:t>
      </w:r>
      <w:r w:rsidRPr="00FF7433">
        <w:rPr>
          <w:rFonts w:ascii="Tahoma" w:hAnsi="Tahoma" w:cs="Tahoma"/>
          <w:color w:val="000000"/>
          <w:kern w:val="0"/>
        </w:rPr>
        <w:t>incurridas en los instrumentos de deuda se realiza mediante la aplicación de unos</w:t>
      </w:r>
      <w:r>
        <w:rPr>
          <w:rFonts w:ascii="Tahoma" w:hAnsi="Tahoma" w:cs="Tahoma"/>
          <w:color w:val="000000"/>
          <w:kern w:val="0"/>
        </w:rPr>
        <w:t xml:space="preserve"> </w:t>
      </w:r>
      <w:r w:rsidRPr="00FF7433">
        <w:rPr>
          <w:rFonts w:ascii="Tahoma" w:hAnsi="Tahoma" w:cs="Tahoma"/>
          <w:color w:val="000000"/>
          <w:kern w:val="0"/>
        </w:rPr>
        <w:t>porcentajes a los instrumentos de deuda no valorados por su valor razonable con</w:t>
      </w:r>
      <w:r>
        <w:rPr>
          <w:rFonts w:ascii="Tahoma" w:hAnsi="Tahoma" w:cs="Tahoma"/>
          <w:color w:val="000000"/>
          <w:kern w:val="0"/>
        </w:rPr>
        <w:t xml:space="preserve"> </w:t>
      </w:r>
      <w:r w:rsidRPr="00FF7433">
        <w:rPr>
          <w:rFonts w:ascii="Tahoma" w:hAnsi="Tahoma" w:cs="Tahoma"/>
          <w:color w:val="000000"/>
          <w:kern w:val="0"/>
        </w:rPr>
        <w:t>cambios en la cuenta de pérdidas y ganancias y de los riesgos contingentes</w:t>
      </w:r>
      <w:r>
        <w:rPr>
          <w:rFonts w:ascii="Tahoma" w:hAnsi="Tahoma" w:cs="Tahoma"/>
          <w:color w:val="000000"/>
          <w:kern w:val="0"/>
        </w:rPr>
        <w:t xml:space="preserve"> </w:t>
      </w:r>
      <w:r w:rsidRPr="00FF7433">
        <w:rPr>
          <w:rFonts w:ascii="Tahoma" w:hAnsi="Tahoma" w:cs="Tahoma"/>
          <w:color w:val="000000"/>
          <w:kern w:val="0"/>
        </w:rPr>
        <w:t>clasificados como riesgo normal. Los mencionados porcentajes varían en función</w:t>
      </w:r>
      <w:r>
        <w:rPr>
          <w:rFonts w:ascii="Tahoma" w:hAnsi="Tahoma" w:cs="Tahoma"/>
          <w:color w:val="000000"/>
          <w:kern w:val="0"/>
        </w:rPr>
        <w:t xml:space="preserve"> </w:t>
      </w:r>
      <w:r w:rsidRPr="00FF7433">
        <w:rPr>
          <w:rFonts w:ascii="Tahoma" w:hAnsi="Tahoma" w:cs="Tahoma"/>
          <w:color w:val="000000"/>
          <w:kern w:val="0"/>
        </w:rPr>
        <w:t>de la clasificación realizada de dichos instrumentos de deuda dentro del riesgo</w:t>
      </w:r>
    </w:p>
    <w:p w14:paraId="29B9C90B" w14:textId="77777777" w:rsidR="00C36168" w:rsidRPr="00FF7433" w:rsidRDefault="00C36168" w:rsidP="00C36168">
      <w:pPr>
        <w:autoSpaceDE w:val="0"/>
        <w:autoSpaceDN w:val="0"/>
        <w:adjustRightInd w:val="0"/>
        <w:spacing w:after="120" w:line="240" w:lineRule="auto"/>
        <w:jc w:val="both"/>
        <w:rPr>
          <w:rFonts w:ascii="Tahoma" w:hAnsi="Tahoma" w:cs="Tahoma"/>
          <w:color w:val="000000"/>
          <w:kern w:val="0"/>
        </w:rPr>
      </w:pPr>
      <w:r w:rsidRPr="00FF7433">
        <w:rPr>
          <w:rFonts w:ascii="Tahoma" w:hAnsi="Tahoma" w:cs="Tahoma"/>
          <w:color w:val="000000"/>
          <w:kern w:val="0"/>
        </w:rPr>
        <w:t>normal, riesgo normal en vigilancia especial, y riesgo dudoso y en función del</w:t>
      </w:r>
      <w:r>
        <w:rPr>
          <w:rFonts w:ascii="Tahoma" w:hAnsi="Tahoma" w:cs="Tahoma"/>
          <w:color w:val="000000"/>
          <w:kern w:val="0"/>
        </w:rPr>
        <w:t xml:space="preserve"> </w:t>
      </w:r>
      <w:r w:rsidRPr="00FF7433">
        <w:rPr>
          <w:rFonts w:ascii="Tahoma" w:hAnsi="Tahoma" w:cs="Tahoma"/>
          <w:color w:val="000000"/>
          <w:kern w:val="0"/>
        </w:rPr>
        <w:t>segmento de riesgo al que pertenezca la operación y la antigüedad de los</w:t>
      </w:r>
      <w:r>
        <w:rPr>
          <w:rFonts w:ascii="Tahoma" w:hAnsi="Tahoma" w:cs="Tahoma"/>
          <w:color w:val="000000"/>
          <w:kern w:val="0"/>
        </w:rPr>
        <w:t xml:space="preserve"> </w:t>
      </w:r>
      <w:r w:rsidRPr="00FF7433">
        <w:rPr>
          <w:rFonts w:ascii="Tahoma" w:hAnsi="Tahoma" w:cs="Tahoma"/>
          <w:color w:val="000000"/>
          <w:kern w:val="0"/>
        </w:rPr>
        <w:t>importes vencidos (en el caso de los dudosos).</w:t>
      </w:r>
    </w:p>
    <w:p w14:paraId="5762704E" w14:textId="77777777" w:rsidR="00C36168" w:rsidRPr="00FF7433" w:rsidRDefault="00C36168" w:rsidP="00C36168">
      <w:pPr>
        <w:autoSpaceDE w:val="0"/>
        <w:autoSpaceDN w:val="0"/>
        <w:adjustRightInd w:val="0"/>
        <w:spacing w:after="120" w:line="240" w:lineRule="auto"/>
        <w:jc w:val="both"/>
        <w:rPr>
          <w:rFonts w:ascii="Tahoma" w:hAnsi="Tahoma" w:cs="Tahoma"/>
          <w:color w:val="000000"/>
          <w:kern w:val="0"/>
        </w:rPr>
      </w:pPr>
      <w:r w:rsidRPr="00FF7433">
        <w:rPr>
          <w:rFonts w:ascii="Tahoma" w:hAnsi="Tahoma" w:cs="Tahoma"/>
          <w:color w:val="000000"/>
          <w:kern w:val="0"/>
        </w:rPr>
        <w:t>Adicionalmente a los coeficientes alternativos establecidos en la normativa</w:t>
      </w:r>
      <w:r>
        <w:rPr>
          <w:rFonts w:ascii="Tahoma" w:hAnsi="Tahoma" w:cs="Tahoma"/>
          <w:color w:val="000000"/>
          <w:kern w:val="0"/>
        </w:rPr>
        <w:t xml:space="preserve"> </w:t>
      </w:r>
      <w:r w:rsidRPr="00FF7433">
        <w:rPr>
          <w:rFonts w:ascii="Tahoma" w:hAnsi="Tahoma" w:cs="Tahoma"/>
          <w:color w:val="000000"/>
          <w:kern w:val="0"/>
        </w:rPr>
        <w:t>aplicable (Circular 4/2019), tanto para riesgo normal en vigilancia especial, como</w:t>
      </w:r>
      <w:r>
        <w:rPr>
          <w:rFonts w:ascii="Tahoma" w:hAnsi="Tahoma" w:cs="Tahoma"/>
          <w:color w:val="000000"/>
          <w:kern w:val="0"/>
        </w:rPr>
        <w:t xml:space="preserve"> </w:t>
      </w:r>
      <w:r w:rsidRPr="00FF7433">
        <w:rPr>
          <w:rFonts w:ascii="Tahoma" w:hAnsi="Tahoma" w:cs="Tahoma"/>
          <w:color w:val="000000"/>
          <w:kern w:val="0"/>
        </w:rPr>
        <w:t>dudoso, se realiza un ejercicio de análisis para observar el comportamiento de la</w:t>
      </w:r>
      <w:r>
        <w:rPr>
          <w:rFonts w:ascii="Tahoma" w:hAnsi="Tahoma" w:cs="Tahoma"/>
          <w:color w:val="000000"/>
          <w:kern w:val="0"/>
        </w:rPr>
        <w:t xml:space="preserve"> </w:t>
      </w:r>
      <w:r w:rsidRPr="00FF7433">
        <w:rPr>
          <w:rFonts w:ascii="Tahoma" w:hAnsi="Tahoma" w:cs="Tahoma"/>
          <w:color w:val="000000"/>
          <w:kern w:val="0"/>
        </w:rPr>
        <w:t>cartera de préstamos en el último ejercicio, evaluando su comportamiento. En</w:t>
      </w:r>
      <w:r>
        <w:rPr>
          <w:rFonts w:ascii="Tahoma" w:hAnsi="Tahoma" w:cs="Tahoma"/>
          <w:color w:val="000000"/>
          <w:kern w:val="0"/>
        </w:rPr>
        <w:t xml:space="preserve"> </w:t>
      </w:r>
      <w:r w:rsidRPr="00FF7433">
        <w:rPr>
          <w:rFonts w:ascii="Tahoma" w:hAnsi="Tahoma" w:cs="Tahoma"/>
          <w:color w:val="000000"/>
          <w:kern w:val="0"/>
        </w:rPr>
        <w:t>base a esta evaluación se registra un deterioro adicional y por tanto que</w:t>
      </w:r>
      <w:r>
        <w:rPr>
          <w:rFonts w:ascii="Tahoma" w:hAnsi="Tahoma" w:cs="Tahoma"/>
          <w:color w:val="000000"/>
          <w:kern w:val="0"/>
        </w:rPr>
        <w:t xml:space="preserve"> </w:t>
      </w:r>
      <w:r w:rsidRPr="00FF7433">
        <w:rPr>
          <w:rFonts w:ascii="Tahoma" w:hAnsi="Tahoma" w:cs="Tahoma"/>
          <w:color w:val="000000"/>
          <w:kern w:val="0"/>
        </w:rPr>
        <w:t>complementa el resultante de los obtenidos en la aplicación de los coeficientes</w:t>
      </w:r>
      <w:r>
        <w:rPr>
          <w:rFonts w:ascii="Tahoma" w:hAnsi="Tahoma" w:cs="Tahoma"/>
          <w:color w:val="000000"/>
          <w:kern w:val="0"/>
        </w:rPr>
        <w:t xml:space="preserve"> </w:t>
      </w:r>
      <w:r w:rsidRPr="00FF7433">
        <w:rPr>
          <w:rFonts w:ascii="Tahoma" w:hAnsi="Tahoma" w:cs="Tahoma"/>
          <w:color w:val="000000"/>
          <w:kern w:val="0"/>
        </w:rPr>
        <w:t>alternativos.</w:t>
      </w:r>
    </w:p>
    <w:p w14:paraId="767B3AD9" w14:textId="77777777" w:rsidR="00C36168" w:rsidRPr="00DB5FB7" w:rsidRDefault="00C36168" w:rsidP="00C36168">
      <w:pPr>
        <w:autoSpaceDE w:val="0"/>
        <w:autoSpaceDN w:val="0"/>
        <w:adjustRightInd w:val="0"/>
        <w:spacing w:after="120" w:line="240" w:lineRule="auto"/>
        <w:jc w:val="both"/>
        <w:rPr>
          <w:rFonts w:ascii="Tahoma" w:hAnsi="Tahoma" w:cs="Tahoma"/>
          <w:b/>
          <w:bCs/>
          <w:color w:val="626A1A" w:themeColor="accent3" w:themeShade="80"/>
          <w:kern w:val="0"/>
        </w:rPr>
      </w:pPr>
      <w:r w:rsidRPr="00DB5FB7">
        <w:rPr>
          <w:rFonts w:ascii="Tahoma" w:hAnsi="Tahoma" w:cs="Tahoma"/>
          <w:b/>
          <w:bCs/>
          <w:color w:val="626A1A" w:themeColor="accent3" w:themeShade="80"/>
          <w:kern w:val="0"/>
        </w:rPr>
        <w:t>4.6. Cobertura del riesgo de crédito.</w:t>
      </w:r>
    </w:p>
    <w:p w14:paraId="708D80DA" w14:textId="77777777" w:rsidR="00C36168" w:rsidRPr="00FF7433" w:rsidRDefault="00C36168" w:rsidP="00C36168">
      <w:pPr>
        <w:autoSpaceDE w:val="0"/>
        <w:autoSpaceDN w:val="0"/>
        <w:adjustRightInd w:val="0"/>
        <w:spacing w:after="0" w:line="240" w:lineRule="auto"/>
        <w:jc w:val="both"/>
        <w:rPr>
          <w:rFonts w:ascii="Tahoma" w:hAnsi="Tahoma" w:cs="Tahoma"/>
          <w:color w:val="000000"/>
          <w:kern w:val="0"/>
        </w:rPr>
      </w:pPr>
      <w:r w:rsidRPr="00FF7433">
        <w:rPr>
          <w:rFonts w:ascii="Tahoma" w:hAnsi="Tahoma" w:cs="Tahoma"/>
          <w:color w:val="000000"/>
          <w:kern w:val="0"/>
        </w:rPr>
        <w:lastRenderedPageBreak/>
        <w:t>A continuación, se presenta el movimiento de las pérdidas por deterioro</w:t>
      </w:r>
      <w:r>
        <w:rPr>
          <w:rFonts w:ascii="Tahoma" w:hAnsi="Tahoma" w:cs="Tahoma"/>
          <w:color w:val="000000"/>
          <w:kern w:val="0"/>
        </w:rPr>
        <w:t xml:space="preserve"> </w:t>
      </w:r>
      <w:r w:rsidRPr="00FF7433">
        <w:rPr>
          <w:rFonts w:ascii="Tahoma" w:hAnsi="Tahoma" w:cs="Tahoma"/>
          <w:color w:val="000000"/>
          <w:kern w:val="0"/>
        </w:rPr>
        <w:t>registradas para</w:t>
      </w:r>
      <w:r>
        <w:rPr>
          <w:rFonts w:ascii="Tahoma" w:hAnsi="Tahoma" w:cs="Tahoma"/>
          <w:color w:val="000000"/>
          <w:kern w:val="0"/>
        </w:rPr>
        <w:t xml:space="preserve"> l</w:t>
      </w:r>
      <w:r w:rsidRPr="00FF7433">
        <w:rPr>
          <w:rFonts w:ascii="Tahoma" w:hAnsi="Tahoma" w:cs="Tahoma"/>
          <w:color w:val="000000"/>
          <w:kern w:val="0"/>
        </w:rPr>
        <w:t>a cobertura del riesgo de crédito y el importe acumulado de las</w:t>
      </w:r>
      <w:r>
        <w:rPr>
          <w:rFonts w:ascii="Tahoma" w:hAnsi="Tahoma" w:cs="Tahoma"/>
          <w:color w:val="000000"/>
          <w:kern w:val="0"/>
        </w:rPr>
        <w:t xml:space="preserve"> </w:t>
      </w:r>
      <w:r w:rsidRPr="00FF7433">
        <w:rPr>
          <w:rFonts w:ascii="Tahoma" w:hAnsi="Tahoma" w:cs="Tahoma"/>
          <w:color w:val="000000"/>
          <w:kern w:val="0"/>
        </w:rPr>
        <w:t>mismas.</w:t>
      </w:r>
    </w:p>
    <w:p w14:paraId="7F952C4B" w14:textId="77777777" w:rsidR="00C36168" w:rsidRDefault="00C36168" w:rsidP="00C36168">
      <w:pPr>
        <w:autoSpaceDE w:val="0"/>
        <w:autoSpaceDN w:val="0"/>
        <w:adjustRightInd w:val="0"/>
        <w:spacing w:after="0" w:line="240" w:lineRule="auto"/>
        <w:jc w:val="both"/>
        <w:rPr>
          <w:rFonts w:ascii="Tahoma" w:hAnsi="Tahoma" w:cs="Tahoma"/>
          <w:color w:val="1F497D"/>
          <w:kern w:val="0"/>
        </w:rPr>
      </w:pPr>
    </w:p>
    <w:tbl>
      <w:tblPr>
        <w:tblW w:w="7480" w:type="dxa"/>
        <w:tblCellMar>
          <w:left w:w="70" w:type="dxa"/>
          <w:right w:w="70" w:type="dxa"/>
        </w:tblCellMar>
        <w:tblLook w:val="04A0" w:firstRow="1" w:lastRow="0" w:firstColumn="1" w:lastColumn="0" w:noHBand="0" w:noVBand="1"/>
      </w:tblPr>
      <w:tblGrid>
        <w:gridCol w:w="2680"/>
        <w:gridCol w:w="1200"/>
        <w:gridCol w:w="1200"/>
        <w:gridCol w:w="1200"/>
        <w:gridCol w:w="1200"/>
      </w:tblGrid>
      <w:tr w:rsidR="00C36168" w:rsidRPr="00D870A6" w14:paraId="3CA54CCD" w14:textId="77777777" w:rsidTr="00F65AAC">
        <w:trPr>
          <w:trHeight w:val="915"/>
        </w:trPr>
        <w:tc>
          <w:tcPr>
            <w:tcW w:w="2680" w:type="dxa"/>
            <w:tcBorders>
              <w:top w:val="nil"/>
              <w:left w:val="nil"/>
              <w:bottom w:val="nil"/>
              <w:right w:val="nil"/>
            </w:tcBorders>
            <w:noWrap/>
            <w:vAlign w:val="center"/>
            <w:hideMark/>
          </w:tcPr>
          <w:p w14:paraId="18D13841" w14:textId="77777777" w:rsidR="00C36168" w:rsidRPr="00D870A6" w:rsidRDefault="00C36168" w:rsidP="00F65AAC">
            <w:pPr>
              <w:spacing w:after="0" w:line="240" w:lineRule="auto"/>
              <w:rPr>
                <w:rFonts w:ascii="Aptos Narrow" w:eastAsia="Times New Roman" w:hAnsi="Aptos Narrow" w:cs="Times New Roman"/>
                <w:color w:val="000000"/>
                <w:kern w:val="0"/>
                <w:lang w:eastAsia="es-ES"/>
                <w14:ligatures w14:val="none"/>
              </w:rPr>
            </w:pPr>
            <w:r w:rsidRPr="00D870A6">
              <w:rPr>
                <w:rFonts w:ascii="Aptos Narrow" w:eastAsia="Times New Roman" w:hAnsi="Aptos Narrow" w:cs="Times New Roman"/>
                <w:color w:val="000000"/>
                <w:kern w:val="0"/>
                <w:lang w:eastAsia="es-ES"/>
                <w14:ligatures w14:val="none"/>
              </w:rPr>
              <w:t>Importes en miles de €</w:t>
            </w:r>
          </w:p>
        </w:tc>
        <w:tc>
          <w:tcPr>
            <w:tcW w:w="1200" w:type="dxa"/>
            <w:tcBorders>
              <w:top w:val="single" w:sz="8" w:space="0" w:color="auto"/>
              <w:left w:val="single" w:sz="8" w:space="0" w:color="auto"/>
              <w:bottom w:val="single" w:sz="8" w:space="0" w:color="auto"/>
              <w:right w:val="nil"/>
            </w:tcBorders>
            <w:vAlign w:val="center"/>
            <w:hideMark/>
          </w:tcPr>
          <w:p w14:paraId="2D67C498" w14:textId="77777777" w:rsidR="00C36168" w:rsidRPr="00D870A6" w:rsidRDefault="00C36168" w:rsidP="00F65AAC">
            <w:pPr>
              <w:spacing w:after="0" w:line="240" w:lineRule="auto"/>
              <w:jc w:val="center"/>
              <w:rPr>
                <w:rFonts w:ascii="Aptos Narrow" w:eastAsia="Times New Roman" w:hAnsi="Aptos Narrow" w:cs="Times New Roman"/>
                <w:color w:val="000000"/>
                <w:kern w:val="0"/>
                <w:lang w:eastAsia="es-ES"/>
                <w14:ligatures w14:val="none"/>
              </w:rPr>
            </w:pPr>
            <w:r w:rsidRPr="00D870A6">
              <w:rPr>
                <w:rFonts w:ascii="Aptos Narrow" w:eastAsia="Times New Roman" w:hAnsi="Aptos Narrow" w:cs="Times New Roman"/>
                <w:color w:val="000000"/>
                <w:kern w:val="0"/>
                <w:lang w:eastAsia="es-ES"/>
                <w14:ligatures w14:val="none"/>
              </w:rPr>
              <w:t>Cobertura Riesgo Dudoso</w:t>
            </w:r>
          </w:p>
        </w:tc>
        <w:tc>
          <w:tcPr>
            <w:tcW w:w="1200" w:type="dxa"/>
            <w:tcBorders>
              <w:top w:val="single" w:sz="8" w:space="0" w:color="auto"/>
              <w:left w:val="nil"/>
              <w:bottom w:val="single" w:sz="8" w:space="0" w:color="auto"/>
              <w:right w:val="nil"/>
            </w:tcBorders>
            <w:vAlign w:val="center"/>
            <w:hideMark/>
          </w:tcPr>
          <w:p w14:paraId="00EDD0CB" w14:textId="77777777" w:rsidR="00C36168" w:rsidRPr="00D870A6" w:rsidRDefault="00C36168" w:rsidP="00F65AAC">
            <w:pPr>
              <w:spacing w:after="0" w:line="240" w:lineRule="auto"/>
              <w:jc w:val="center"/>
              <w:rPr>
                <w:rFonts w:ascii="Aptos Narrow" w:eastAsia="Times New Roman" w:hAnsi="Aptos Narrow" w:cs="Times New Roman"/>
                <w:color w:val="000000"/>
                <w:kern w:val="0"/>
                <w:lang w:eastAsia="es-ES"/>
                <w14:ligatures w14:val="none"/>
              </w:rPr>
            </w:pPr>
            <w:r w:rsidRPr="00D870A6">
              <w:rPr>
                <w:rFonts w:ascii="Aptos Narrow" w:eastAsia="Times New Roman" w:hAnsi="Aptos Narrow" w:cs="Times New Roman"/>
                <w:color w:val="000000"/>
                <w:kern w:val="0"/>
                <w:lang w:eastAsia="es-ES"/>
                <w14:ligatures w14:val="none"/>
              </w:rPr>
              <w:t>Cobertura Riesgo País</w:t>
            </w:r>
          </w:p>
        </w:tc>
        <w:tc>
          <w:tcPr>
            <w:tcW w:w="1200" w:type="dxa"/>
            <w:tcBorders>
              <w:top w:val="single" w:sz="8" w:space="0" w:color="auto"/>
              <w:left w:val="nil"/>
              <w:bottom w:val="single" w:sz="8" w:space="0" w:color="auto"/>
              <w:right w:val="nil"/>
            </w:tcBorders>
            <w:vAlign w:val="center"/>
            <w:hideMark/>
          </w:tcPr>
          <w:p w14:paraId="3E6F997E" w14:textId="77777777" w:rsidR="00C36168" w:rsidRPr="00D870A6" w:rsidRDefault="00C36168" w:rsidP="00F65AAC">
            <w:pPr>
              <w:spacing w:after="0" w:line="240" w:lineRule="auto"/>
              <w:jc w:val="center"/>
              <w:rPr>
                <w:rFonts w:ascii="Aptos Narrow" w:eastAsia="Times New Roman" w:hAnsi="Aptos Narrow" w:cs="Times New Roman"/>
                <w:color w:val="000000"/>
                <w:kern w:val="0"/>
                <w:lang w:eastAsia="es-ES"/>
                <w14:ligatures w14:val="none"/>
              </w:rPr>
            </w:pPr>
            <w:r w:rsidRPr="00D870A6">
              <w:rPr>
                <w:rFonts w:ascii="Aptos Narrow" w:eastAsia="Times New Roman" w:hAnsi="Aptos Narrow" w:cs="Times New Roman"/>
                <w:color w:val="000000"/>
                <w:kern w:val="0"/>
                <w:lang w:eastAsia="es-ES"/>
                <w14:ligatures w14:val="none"/>
              </w:rPr>
              <w:t>Cobertura Riesgo No Dudoso</w:t>
            </w:r>
          </w:p>
        </w:tc>
        <w:tc>
          <w:tcPr>
            <w:tcW w:w="1200" w:type="dxa"/>
            <w:tcBorders>
              <w:top w:val="single" w:sz="8" w:space="0" w:color="auto"/>
              <w:left w:val="nil"/>
              <w:bottom w:val="single" w:sz="8" w:space="0" w:color="auto"/>
              <w:right w:val="single" w:sz="8" w:space="0" w:color="auto"/>
            </w:tcBorders>
            <w:vAlign w:val="center"/>
            <w:hideMark/>
          </w:tcPr>
          <w:p w14:paraId="5A6054E2" w14:textId="77777777" w:rsidR="00C36168" w:rsidRPr="00D870A6" w:rsidRDefault="00C36168" w:rsidP="00F65AAC">
            <w:pPr>
              <w:spacing w:after="0" w:line="240" w:lineRule="auto"/>
              <w:jc w:val="center"/>
              <w:rPr>
                <w:rFonts w:ascii="Aptos Narrow" w:eastAsia="Times New Roman" w:hAnsi="Aptos Narrow" w:cs="Times New Roman"/>
                <w:color w:val="000000"/>
                <w:kern w:val="0"/>
                <w:lang w:eastAsia="es-ES"/>
                <w14:ligatures w14:val="none"/>
              </w:rPr>
            </w:pPr>
            <w:r w:rsidRPr="00D870A6">
              <w:rPr>
                <w:rFonts w:ascii="Aptos Narrow" w:eastAsia="Times New Roman" w:hAnsi="Aptos Narrow" w:cs="Times New Roman"/>
                <w:color w:val="000000"/>
                <w:kern w:val="0"/>
                <w:lang w:eastAsia="es-ES"/>
                <w14:ligatures w14:val="none"/>
              </w:rPr>
              <w:t>Total</w:t>
            </w:r>
          </w:p>
        </w:tc>
      </w:tr>
      <w:tr w:rsidR="00C36168" w:rsidRPr="00D870A6" w14:paraId="361B9589" w14:textId="77777777" w:rsidTr="00F65AAC">
        <w:trPr>
          <w:trHeight w:val="300"/>
        </w:trPr>
        <w:tc>
          <w:tcPr>
            <w:tcW w:w="2680" w:type="dxa"/>
            <w:tcBorders>
              <w:top w:val="nil"/>
              <w:left w:val="nil"/>
              <w:bottom w:val="nil"/>
              <w:right w:val="nil"/>
            </w:tcBorders>
            <w:noWrap/>
            <w:vAlign w:val="bottom"/>
            <w:hideMark/>
          </w:tcPr>
          <w:p w14:paraId="2C802120" w14:textId="77777777" w:rsidR="00C36168" w:rsidRPr="00D870A6" w:rsidRDefault="00C36168" w:rsidP="00F65AAC">
            <w:pPr>
              <w:spacing w:after="0" w:line="240" w:lineRule="auto"/>
              <w:rPr>
                <w:rFonts w:ascii="Aptos Narrow" w:eastAsia="Times New Roman" w:hAnsi="Aptos Narrow" w:cs="Times New Roman"/>
                <w:color w:val="000000"/>
                <w:kern w:val="0"/>
                <w:lang w:eastAsia="es-ES"/>
                <w14:ligatures w14:val="none"/>
              </w:rPr>
            </w:pPr>
            <w:r w:rsidRPr="00D870A6">
              <w:rPr>
                <w:rFonts w:ascii="Aptos Narrow" w:eastAsia="Times New Roman" w:hAnsi="Aptos Narrow" w:cs="Times New Roman"/>
                <w:color w:val="000000"/>
                <w:kern w:val="0"/>
                <w:lang w:eastAsia="es-ES"/>
                <w14:ligatures w14:val="none"/>
              </w:rPr>
              <w:t>Saldo inicio ejercicio 202</w:t>
            </w:r>
            <w:r>
              <w:rPr>
                <w:rFonts w:ascii="Aptos Narrow" w:eastAsia="Times New Roman" w:hAnsi="Aptos Narrow" w:cs="Times New Roman"/>
                <w:color w:val="000000"/>
                <w:kern w:val="0"/>
                <w:lang w:eastAsia="es-ES"/>
                <w14:ligatures w14:val="none"/>
              </w:rPr>
              <w:t>5</w:t>
            </w:r>
          </w:p>
        </w:tc>
        <w:tc>
          <w:tcPr>
            <w:tcW w:w="1200" w:type="dxa"/>
            <w:tcBorders>
              <w:top w:val="nil"/>
              <w:left w:val="nil"/>
              <w:bottom w:val="nil"/>
              <w:right w:val="nil"/>
            </w:tcBorders>
            <w:noWrap/>
            <w:vAlign w:val="bottom"/>
            <w:hideMark/>
          </w:tcPr>
          <w:p w14:paraId="4A839B7F" w14:textId="77777777" w:rsidR="00C36168" w:rsidRPr="00D870A6" w:rsidRDefault="00C36168" w:rsidP="00F65AAC">
            <w:pPr>
              <w:spacing w:after="0" w:line="240" w:lineRule="auto"/>
              <w:jc w:val="right"/>
              <w:rPr>
                <w:rFonts w:ascii="Aptos Narrow" w:eastAsia="Times New Roman" w:hAnsi="Aptos Narrow" w:cs="Times New Roman"/>
                <w:color w:val="000000"/>
                <w:kern w:val="0"/>
                <w:lang w:eastAsia="es-ES"/>
                <w14:ligatures w14:val="none"/>
              </w:rPr>
            </w:pPr>
            <w:r>
              <w:rPr>
                <w:rFonts w:ascii="Aptos Narrow" w:eastAsia="Times New Roman" w:hAnsi="Aptos Narrow" w:cs="Times New Roman"/>
                <w:color w:val="000000"/>
                <w:kern w:val="0"/>
                <w:lang w:eastAsia="es-ES"/>
                <w14:ligatures w14:val="none"/>
              </w:rPr>
              <w:t>135</w:t>
            </w:r>
          </w:p>
        </w:tc>
        <w:tc>
          <w:tcPr>
            <w:tcW w:w="1200" w:type="dxa"/>
            <w:tcBorders>
              <w:top w:val="nil"/>
              <w:left w:val="nil"/>
              <w:bottom w:val="nil"/>
              <w:right w:val="nil"/>
            </w:tcBorders>
            <w:noWrap/>
            <w:vAlign w:val="bottom"/>
            <w:hideMark/>
          </w:tcPr>
          <w:p w14:paraId="35F12CEE" w14:textId="77777777" w:rsidR="00C36168" w:rsidRPr="00D870A6" w:rsidRDefault="00C36168" w:rsidP="00F65AAC">
            <w:pPr>
              <w:spacing w:after="0" w:line="240" w:lineRule="auto"/>
              <w:jc w:val="right"/>
              <w:rPr>
                <w:rFonts w:ascii="Aptos Narrow" w:eastAsia="Times New Roman" w:hAnsi="Aptos Narrow" w:cs="Times New Roman"/>
                <w:color w:val="000000"/>
                <w:kern w:val="0"/>
                <w:lang w:eastAsia="es-ES"/>
                <w14:ligatures w14:val="none"/>
              </w:rPr>
            </w:pPr>
            <w:r>
              <w:rPr>
                <w:rFonts w:ascii="Aptos Narrow" w:eastAsia="Times New Roman" w:hAnsi="Aptos Narrow" w:cs="Times New Roman"/>
                <w:color w:val="000000"/>
                <w:kern w:val="0"/>
                <w:lang w:eastAsia="es-ES"/>
                <w14:ligatures w14:val="none"/>
              </w:rPr>
              <w:t>0</w:t>
            </w:r>
          </w:p>
        </w:tc>
        <w:tc>
          <w:tcPr>
            <w:tcW w:w="1200" w:type="dxa"/>
            <w:tcBorders>
              <w:top w:val="nil"/>
              <w:left w:val="nil"/>
              <w:bottom w:val="nil"/>
              <w:right w:val="nil"/>
            </w:tcBorders>
            <w:noWrap/>
            <w:vAlign w:val="bottom"/>
            <w:hideMark/>
          </w:tcPr>
          <w:p w14:paraId="00557F7B" w14:textId="77777777" w:rsidR="00C36168" w:rsidRPr="00D870A6" w:rsidRDefault="00C36168" w:rsidP="00F65AAC">
            <w:pPr>
              <w:spacing w:after="0" w:line="240" w:lineRule="auto"/>
              <w:jc w:val="right"/>
              <w:rPr>
                <w:rFonts w:ascii="Aptos Narrow" w:eastAsia="Times New Roman" w:hAnsi="Aptos Narrow" w:cs="Times New Roman"/>
                <w:color w:val="000000"/>
                <w:kern w:val="0"/>
                <w:lang w:eastAsia="es-ES"/>
                <w14:ligatures w14:val="none"/>
              </w:rPr>
            </w:pPr>
            <w:r>
              <w:rPr>
                <w:rFonts w:ascii="Aptos Narrow" w:eastAsia="Times New Roman" w:hAnsi="Aptos Narrow" w:cs="Times New Roman"/>
                <w:color w:val="000000"/>
                <w:kern w:val="0"/>
                <w:lang w:eastAsia="es-ES"/>
                <w14:ligatures w14:val="none"/>
              </w:rPr>
              <w:t>41</w:t>
            </w:r>
          </w:p>
        </w:tc>
        <w:tc>
          <w:tcPr>
            <w:tcW w:w="1200" w:type="dxa"/>
            <w:tcBorders>
              <w:top w:val="nil"/>
              <w:left w:val="nil"/>
              <w:bottom w:val="nil"/>
              <w:right w:val="nil"/>
            </w:tcBorders>
            <w:noWrap/>
            <w:vAlign w:val="bottom"/>
            <w:hideMark/>
          </w:tcPr>
          <w:p w14:paraId="6B083D11" w14:textId="77777777" w:rsidR="00C36168" w:rsidRPr="00D870A6" w:rsidRDefault="00C36168" w:rsidP="00F65AAC">
            <w:pPr>
              <w:spacing w:after="0" w:line="240" w:lineRule="auto"/>
              <w:jc w:val="right"/>
              <w:rPr>
                <w:rFonts w:ascii="Aptos Narrow" w:eastAsia="Times New Roman" w:hAnsi="Aptos Narrow" w:cs="Times New Roman"/>
                <w:color w:val="000000"/>
                <w:kern w:val="0"/>
                <w:lang w:eastAsia="es-ES"/>
                <w14:ligatures w14:val="none"/>
              </w:rPr>
            </w:pPr>
            <w:r>
              <w:rPr>
                <w:rFonts w:ascii="Aptos Narrow" w:eastAsia="Times New Roman" w:hAnsi="Aptos Narrow" w:cs="Times New Roman"/>
                <w:color w:val="000000"/>
                <w:kern w:val="0"/>
                <w:lang w:eastAsia="es-ES"/>
                <w14:ligatures w14:val="none"/>
              </w:rPr>
              <w:t>176</w:t>
            </w:r>
          </w:p>
        </w:tc>
      </w:tr>
      <w:tr w:rsidR="00C36168" w:rsidRPr="00D870A6" w14:paraId="64D12500" w14:textId="77777777" w:rsidTr="00F65AAC">
        <w:trPr>
          <w:trHeight w:val="300"/>
        </w:trPr>
        <w:tc>
          <w:tcPr>
            <w:tcW w:w="2680" w:type="dxa"/>
            <w:tcBorders>
              <w:top w:val="nil"/>
              <w:left w:val="nil"/>
              <w:bottom w:val="nil"/>
              <w:right w:val="nil"/>
            </w:tcBorders>
            <w:noWrap/>
            <w:vAlign w:val="bottom"/>
            <w:hideMark/>
          </w:tcPr>
          <w:p w14:paraId="5B448142" w14:textId="77777777" w:rsidR="00C36168" w:rsidRPr="00D870A6" w:rsidRDefault="00C36168" w:rsidP="00F65AAC">
            <w:pPr>
              <w:spacing w:after="0" w:line="240" w:lineRule="auto"/>
              <w:rPr>
                <w:rFonts w:ascii="Aptos Narrow" w:eastAsia="Times New Roman" w:hAnsi="Aptos Narrow" w:cs="Times New Roman"/>
                <w:color w:val="000000"/>
                <w:kern w:val="0"/>
                <w:lang w:eastAsia="es-ES"/>
                <w14:ligatures w14:val="none"/>
              </w:rPr>
            </w:pPr>
            <w:r w:rsidRPr="00D870A6">
              <w:rPr>
                <w:rFonts w:ascii="Aptos Narrow" w:eastAsia="Times New Roman" w:hAnsi="Aptos Narrow" w:cs="Times New Roman"/>
                <w:color w:val="000000"/>
                <w:kern w:val="0"/>
                <w:lang w:eastAsia="es-ES"/>
                <w14:ligatures w14:val="none"/>
              </w:rPr>
              <w:t>Dotaciones Netas 202</w:t>
            </w:r>
            <w:r>
              <w:rPr>
                <w:rFonts w:ascii="Aptos Narrow" w:eastAsia="Times New Roman" w:hAnsi="Aptos Narrow" w:cs="Times New Roman"/>
                <w:color w:val="000000"/>
                <w:kern w:val="0"/>
                <w:lang w:eastAsia="es-ES"/>
                <w14:ligatures w14:val="none"/>
              </w:rPr>
              <w:t>5</w:t>
            </w:r>
          </w:p>
        </w:tc>
        <w:tc>
          <w:tcPr>
            <w:tcW w:w="1200" w:type="dxa"/>
            <w:tcBorders>
              <w:top w:val="nil"/>
              <w:left w:val="nil"/>
              <w:bottom w:val="nil"/>
              <w:right w:val="nil"/>
            </w:tcBorders>
            <w:noWrap/>
            <w:vAlign w:val="bottom"/>
            <w:hideMark/>
          </w:tcPr>
          <w:p w14:paraId="6E1FAEAB" w14:textId="77777777" w:rsidR="00C36168" w:rsidRPr="00D870A6" w:rsidRDefault="00C36168" w:rsidP="00F65AAC">
            <w:pPr>
              <w:spacing w:after="0" w:line="240" w:lineRule="auto"/>
              <w:jc w:val="right"/>
              <w:rPr>
                <w:rFonts w:ascii="Aptos Narrow" w:eastAsia="Times New Roman" w:hAnsi="Aptos Narrow" w:cs="Times New Roman"/>
                <w:color w:val="000000"/>
                <w:kern w:val="0"/>
                <w:lang w:eastAsia="es-ES"/>
                <w14:ligatures w14:val="none"/>
              </w:rPr>
            </w:pPr>
            <w:r>
              <w:rPr>
                <w:rFonts w:ascii="Aptos Narrow" w:eastAsia="Times New Roman" w:hAnsi="Aptos Narrow" w:cs="Times New Roman"/>
                <w:color w:val="000000"/>
                <w:kern w:val="0"/>
                <w:lang w:eastAsia="es-ES"/>
                <w14:ligatures w14:val="none"/>
              </w:rPr>
              <w:t>105</w:t>
            </w:r>
          </w:p>
        </w:tc>
        <w:tc>
          <w:tcPr>
            <w:tcW w:w="1200" w:type="dxa"/>
            <w:tcBorders>
              <w:top w:val="nil"/>
              <w:left w:val="nil"/>
              <w:bottom w:val="nil"/>
              <w:right w:val="nil"/>
            </w:tcBorders>
            <w:noWrap/>
            <w:vAlign w:val="bottom"/>
            <w:hideMark/>
          </w:tcPr>
          <w:p w14:paraId="507CD353" w14:textId="77777777" w:rsidR="00C36168" w:rsidRPr="00D870A6" w:rsidRDefault="00C36168" w:rsidP="00F65AAC">
            <w:pPr>
              <w:spacing w:after="0" w:line="240" w:lineRule="auto"/>
              <w:jc w:val="right"/>
              <w:rPr>
                <w:rFonts w:ascii="Aptos Narrow" w:eastAsia="Times New Roman" w:hAnsi="Aptos Narrow" w:cs="Times New Roman"/>
                <w:color w:val="000000"/>
                <w:kern w:val="0"/>
                <w:lang w:eastAsia="es-ES"/>
                <w14:ligatures w14:val="none"/>
              </w:rPr>
            </w:pPr>
            <w:r>
              <w:rPr>
                <w:rFonts w:ascii="Aptos Narrow" w:eastAsia="Times New Roman" w:hAnsi="Aptos Narrow" w:cs="Times New Roman"/>
                <w:color w:val="000000"/>
                <w:kern w:val="0"/>
                <w:lang w:eastAsia="es-ES"/>
                <w14:ligatures w14:val="none"/>
              </w:rPr>
              <w:t>0</w:t>
            </w:r>
          </w:p>
        </w:tc>
        <w:tc>
          <w:tcPr>
            <w:tcW w:w="1200" w:type="dxa"/>
            <w:tcBorders>
              <w:top w:val="nil"/>
              <w:left w:val="nil"/>
              <w:bottom w:val="nil"/>
              <w:right w:val="nil"/>
            </w:tcBorders>
            <w:noWrap/>
            <w:vAlign w:val="bottom"/>
            <w:hideMark/>
          </w:tcPr>
          <w:p w14:paraId="5FC40512" w14:textId="77777777" w:rsidR="00C36168" w:rsidRPr="00D870A6" w:rsidRDefault="00C36168" w:rsidP="00F65AAC">
            <w:pPr>
              <w:spacing w:after="0" w:line="240" w:lineRule="auto"/>
              <w:jc w:val="right"/>
              <w:rPr>
                <w:rFonts w:ascii="Aptos Narrow" w:eastAsia="Times New Roman" w:hAnsi="Aptos Narrow" w:cs="Times New Roman"/>
                <w:color w:val="000000"/>
                <w:kern w:val="0"/>
                <w:lang w:eastAsia="es-ES"/>
                <w14:ligatures w14:val="none"/>
              </w:rPr>
            </w:pPr>
            <w:r>
              <w:rPr>
                <w:rFonts w:ascii="Aptos Narrow" w:eastAsia="Times New Roman" w:hAnsi="Aptos Narrow" w:cs="Times New Roman"/>
                <w:color w:val="000000"/>
                <w:kern w:val="0"/>
                <w:lang w:eastAsia="es-ES"/>
                <w14:ligatures w14:val="none"/>
              </w:rPr>
              <w:t>-2</w:t>
            </w:r>
          </w:p>
        </w:tc>
        <w:tc>
          <w:tcPr>
            <w:tcW w:w="1200" w:type="dxa"/>
            <w:tcBorders>
              <w:top w:val="nil"/>
              <w:left w:val="nil"/>
              <w:bottom w:val="nil"/>
              <w:right w:val="nil"/>
            </w:tcBorders>
            <w:noWrap/>
            <w:vAlign w:val="bottom"/>
            <w:hideMark/>
          </w:tcPr>
          <w:p w14:paraId="7E036F48" w14:textId="77777777" w:rsidR="00C36168" w:rsidRPr="00D870A6" w:rsidRDefault="00C36168" w:rsidP="00F65AAC">
            <w:pPr>
              <w:spacing w:after="0" w:line="240" w:lineRule="auto"/>
              <w:jc w:val="right"/>
              <w:rPr>
                <w:rFonts w:ascii="Aptos Narrow" w:eastAsia="Times New Roman" w:hAnsi="Aptos Narrow" w:cs="Times New Roman"/>
                <w:color w:val="000000"/>
                <w:kern w:val="0"/>
                <w:lang w:eastAsia="es-ES"/>
                <w14:ligatures w14:val="none"/>
              </w:rPr>
            </w:pPr>
            <w:r>
              <w:rPr>
                <w:rFonts w:ascii="Aptos Narrow" w:eastAsia="Times New Roman" w:hAnsi="Aptos Narrow" w:cs="Times New Roman"/>
                <w:color w:val="000000"/>
                <w:kern w:val="0"/>
                <w:lang w:eastAsia="es-ES"/>
                <w14:ligatures w14:val="none"/>
              </w:rPr>
              <w:t>102</w:t>
            </w:r>
          </w:p>
        </w:tc>
      </w:tr>
      <w:tr w:rsidR="00C36168" w:rsidRPr="00D870A6" w14:paraId="4F9638A2" w14:textId="77777777" w:rsidTr="00F65AAC">
        <w:trPr>
          <w:trHeight w:val="315"/>
        </w:trPr>
        <w:tc>
          <w:tcPr>
            <w:tcW w:w="2680" w:type="dxa"/>
            <w:tcBorders>
              <w:top w:val="single" w:sz="4" w:space="0" w:color="auto"/>
              <w:left w:val="nil"/>
              <w:bottom w:val="double" w:sz="6" w:space="0" w:color="auto"/>
              <w:right w:val="nil"/>
            </w:tcBorders>
            <w:noWrap/>
            <w:vAlign w:val="bottom"/>
            <w:hideMark/>
          </w:tcPr>
          <w:p w14:paraId="468556FA" w14:textId="77777777" w:rsidR="00C36168" w:rsidRPr="00D870A6" w:rsidRDefault="00C36168" w:rsidP="00F65AAC">
            <w:pPr>
              <w:spacing w:after="0" w:line="240" w:lineRule="auto"/>
              <w:rPr>
                <w:rFonts w:ascii="Aptos Narrow" w:eastAsia="Times New Roman" w:hAnsi="Aptos Narrow" w:cs="Times New Roman"/>
                <w:color w:val="000000"/>
                <w:kern w:val="0"/>
                <w:lang w:eastAsia="es-ES"/>
                <w14:ligatures w14:val="none"/>
              </w:rPr>
            </w:pPr>
            <w:r w:rsidRPr="00D870A6">
              <w:rPr>
                <w:rFonts w:ascii="Aptos Narrow" w:eastAsia="Times New Roman" w:hAnsi="Aptos Narrow" w:cs="Times New Roman"/>
                <w:color w:val="000000"/>
                <w:kern w:val="0"/>
                <w:lang w:eastAsia="es-ES"/>
                <w14:ligatures w14:val="none"/>
              </w:rPr>
              <w:t>Saldo cierre ejercicio 202</w:t>
            </w:r>
            <w:r>
              <w:rPr>
                <w:rFonts w:ascii="Aptos Narrow" w:eastAsia="Times New Roman" w:hAnsi="Aptos Narrow" w:cs="Times New Roman"/>
                <w:color w:val="000000"/>
                <w:kern w:val="0"/>
                <w:lang w:eastAsia="es-ES"/>
                <w14:ligatures w14:val="none"/>
              </w:rPr>
              <w:t>5</w:t>
            </w:r>
          </w:p>
        </w:tc>
        <w:tc>
          <w:tcPr>
            <w:tcW w:w="1200" w:type="dxa"/>
            <w:tcBorders>
              <w:top w:val="single" w:sz="4" w:space="0" w:color="auto"/>
              <w:left w:val="nil"/>
              <w:bottom w:val="double" w:sz="6" w:space="0" w:color="auto"/>
              <w:right w:val="nil"/>
            </w:tcBorders>
            <w:noWrap/>
            <w:vAlign w:val="bottom"/>
            <w:hideMark/>
          </w:tcPr>
          <w:p w14:paraId="046696D5" w14:textId="77777777" w:rsidR="00C36168" w:rsidRPr="00D870A6" w:rsidRDefault="00C36168" w:rsidP="00F65AAC">
            <w:pPr>
              <w:spacing w:after="0" w:line="240" w:lineRule="auto"/>
              <w:jc w:val="right"/>
              <w:rPr>
                <w:rFonts w:ascii="Aptos Narrow" w:eastAsia="Times New Roman" w:hAnsi="Aptos Narrow" w:cs="Times New Roman"/>
                <w:color w:val="000000"/>
                <w:kern w:val="0"/>
                <w:lang w:eastAsia="es-ES"/>
                <w14:ligatures w14:val="none"/>
              </w:rPr>
            </w:pPr>
            <w:r>
              <w:rPr>
                <w:rFonts w:ascii="Aptos Narrow" w:eastAsia="Times New Roman" w:hAnsi="Aptos Narrow" w:cs="Times New Roman"/>
                <w:color w:val="000000"/>
                <w:kern w:val="0"/>
                <w:lang w:eastAsia="es-ES"/>
                <w14:ligatures w14:val="none"/>
              </w:rPr>
              <w:t>240</w:t>
            </w:r>
          </w:p>
        </w:tc>
        <w:tc>
          <w:tcPr>
            <w:tcW w:w="1200" w:type="dxa"/>
            <w:tcBorders>
              <w:top w:val="single" w:sz="4" w:space="0" w:color="auto"/>
              <w:left w:val="nil"/>
              <w:bottom w:val="double" w:sz="6" w:space="0" w:color="auto"/>
              <w:right w:val="nil"/>
            </w:tcBorders>
            <w:noWrap/>
            <w:vAlign w:val="bottom"/>
            <w:hideMark/>
          </w:tcPr>
          <w:p w14:paraId="6EB50CF8" w14:textId="77777777" w:rsidR="00C36168" w:rsidRPr="00D870A6" w:rsidRDefault="00C36168" w:rsidP="00F65AAC">
            <w:pPr>
              <w:spacing w:after="0" w:line="240" w:lineRule="auto"/>
              <w:jc w:val="right"/>
              <w:rPr>
                <w:rFonts w:ascii="Aptos Narrow" w:eastAsia="Times New Roman" w:hAnsi="Aptos Narrow" w:cs="Times New Roman"/>
                <w:color w:val="000000"/>
                <w:kern w:val="0"/>
                <w:lang w:eastAsia="es-ES"/>
                <w14:ligatures w14:val="none"/>
              </w:rPr>
            </w:pPr>
            <w:r w:rsidRPr="00D870A6">
              <w:rPr>
                <w:rFonts w:ascii="Aptos Narrow" w:eastAsia="Times New Roman" w:hAnsi="Aptos Narrow" w:cs="Times New Roman"/>
                <w:color w:val="000000"/>
                <w:kern w:val="0"/>
                <w:lang w:eastAsia="es-ES"/>
                <w14:ligatures w14:val="none"/>
              </w:rPr>
              <w:t>0</w:t>
            </w:r>
          </w:p>
        </w:tc>
        <w:tc>
          <w:tcPr>
            <w:tcW w:w="1200" w:type="dxa"/>
            <w:tcBorders>
              <w:top w:val="single" w:sz="4" w:space="0" w:color="auto"/>
              <w:left w:val="nil"/>
              <w:bottom w:val="double" w:sz="6" w:space="0" w:color="auto"/>
              <w:right w:val="nil"/>
            </w:tcBorders>
            <w:noWrap/>
            <w:vAlign w:val="bottom"/>
            <w:hideMark/>
          </w:tcPr>
          <w:p w14:paraId="32BF6AA6" w14:textId="77777777" w:rsidR="00C36168" w:rsidRPr="00D870A6" w:rsidRDefault="00C36168" w:rsidP="00F65AAC">
            <w:pPr>
              <w:spacing w:after="0" w:line="240" w:lineRule="auto"/>
              <w:jc w:val="right"/>
              <w:rPr>
                <w:rFonts w:ascii="Aptos Narrow" w:eastAsia="Times New Roman" w:hAnsi="Aptos Narrow" w:cs="Times New Roman"/>
                <w:color w:val="000000"/>
                <w:kern w:val="0"/>
                <w:lang w:eastAsia="es-ES"/>
                <w14:ligatures w14:val="none"/>
              </w:rPr>
            </w:pPr>
            <w:r>
              <w:rPr>
                <w:rFonts w:ascii="Aptos Narrow" w:eastAsia="Times New Roman" w:hAnsi="Aptos Narrow" w:cs="Times New Roman"/>
                <w:color w:val="000000"/>
                <w:kern w:val="0"/>
                <w:lang w:eastAsia="es-ES"/>
                <w14:ligatures w14:val="none"/>
              </w:rPr>
              <w:t>39</w:t>
            </w:r>
          </w:p>
        </w:tc>
        <w:tc>
          <w:tcPr>
            <w:tcW w:w="1200" w:type="dxa"/>
            <w:tcBorders>
              <w:top w:val="single" w:sz="4" w:space="0" w:color="auto"/>
              <w:left w:val="nil"/>
              <w:bottom w:val="double" w:sz="6" w:space="0" w:color="auto"/>
              <w:right w:val="nil"/>
            </w:tcBorders>
            <w:noWrap/>
            <w:vAlign w:val="bottom"/>
            <w:hideMark/>
          </w:tcPr>
          <w:p w14:paraId="746B3326" w14:textId="77777777" w:rsidR="00C36168" w:rsidRPr="00D870A6" w:rsidRDefault="00C36168" w:rsidP="00F65AAC">
            <w:pPr>
              <w:spacing w:after="0" w:line="240" w:lineRule="auto"/>
              <w:jc w:val="right"/>
              <w:rPr>
                <w:rFonts w:ascii="Aptos Narrow" w:eastAsia="Times New Roman" w:hAnsi="Aptos Narrow" w:cs="Times New Roman"/>
                <w:color w:val="000000"/>
                <w:kern w:val="0"/>
                <w:lang w:eastAsia="es-ES"/>
                <w14:ligatures w14:val="none"/>
              </w:rPr>
            </w:pPr>
            <w:r>
              <w:rPr>
                <w:rFonts w:ascii="Aptos Narrow" w:eastAsia="Times New Roman" w:hAnsi="Aptos Narrow" w:cs="Times New Roman"/>
                <w:color w:val="000000"/>
                <w:kern w:val="0"/>
                <w:lang w:eastAsia="es-ES"/>
                <w14:ligatures w14:val="none"/>
              </w:rPr>
              <w:t>278</w:t>
            </w:r>
          </w:p>
        </w:tc>
      </w:tr>
    </w:tbl>
    <w:p w14:paraId="51077432" w14:textId="77777777" w:rsidR="00C36168" w:rsidRDefault="00C36168" w:rsidP="00C36168">
      <w:pPr>
        <w:autoSpaceDE w:val="0"/>
        <w:autoSpaceDN w:val="0"/>
        <w:adjustRightInd w:val="0"/>
        <w:spacing w:after="0" w:line="240" w:lineRule="auto"/>
        <w:jc w:val="both"/>
        <w:rPr>
          <w:rFonts w:ascii="Tahoma" w:hAnsi="Tahoma" w:cs="Tahoma"/>
          <w:color w:val="1F497D"/>
          <w:kern w:val="0"/>
        </w:rPr>
      </w:pPr>
    </w:p>
    <w:p w14:paraId="260177BC" w14:textId="77777777" w:rsidR="00C36168" w:rsidRPr="00DB5FB7" w:rsidRDefault="00C36168" w:rsidP="00C36168">
      <w:pPr>
        <w:autoSpaceDE w:val="0"/>
        <w:autoSpaceDN w:val="0"/>
        <w:adjustRightInd w:val="0"/>
        <w:spacing w:after="120" w:line="240" w:lineRule="auto"/>
        <w:jc w:val="both"/>
        <w:rPr>
          <w:rFonts w:ascii="Tahoma" w:hAnsi="Tahoma" w:cs="Tahoma"/>
          <w:b/>
          <w:bCs/>
          <w:color w:val="626A1A" w:themeColor="accent3" w:themeShade="80"/>
          <w:kern w:val="0"/>
        </w:rPr>
      </w:pPr>
      <w:r w:rsidRPr="00DB5FB7">
        <w:rPr>
          <w:rFonts w:ascii="Tahoma" w:hAnsi="Tahoma" w:cs="Tahoma"/>
          <w:b/>
          <w:bCs/>
          <w:color w:val="626A1A" w:themeColor="accent3" w:themeShade="80"/>
          <w:kern w:val="0"/>
        </w:rPr>
        <w:t xml:space="preserve">4.7. Activos en suspenso </w:t>
      </w:r>
    </w:p>
    <w:p w14:paraId="215B2B69" w14:textId="77777777" w:rsidR="00C36168" w:rsidRPr="00FF7433" w:rsidRDefault="00C36168" w:rsidP="00C36168">
      <w:pPr>
        <w:autoSpaceDE w:val="0"/>
        <w:autoSpaceDN w:val="0"/>
        <w:adjustRightInd w:val="0"/>
        <w:spacing w:after="0" w:line="240" w:lineRule="auto"/>
        <w:jc w:val="both"/>
        <w:rPr>
          <w:rFonts w:ascii="Tahoma" w:hAnsi="Tahoma" w:cs="Tahoma"/>
          <w:color w:val="000000"/>
          <w:kern w:val="0"/>
        </w:rPr>
      </w:pPr>
      <w:r>
        <w:rPr>
          <w:rFonts w:ascii="Tahoma" w:hAnsi="Tahoma" w:cs="Tahoma"/>
          <w:color w:val="000000"/>
          <w:kern w:val="0"/>
        </w:rPr>
        <w:t>A</w:t>
      </w:r>
      <w:r w:rsidRPr="00FF7433">
        <w:rPr>
          <w:rFonts w:ascii="Tahoma" w:hAnsi="Tahoma" w:cs="Tahoma"/>
          <w:color w:val="000000"/>
          <w:kern w:val="0"/>
        </w:rPr>
        <w:t xml:space="preserve"> 31 de diciembre de 202</w:t>
      </w:r>
      <w:r>
        <w:rPr>
          <w:rFonts w:ascii="Tahoma" w:hAnsi="Tahoma" w:cs="Tahoma"/>
          <w:color w:val="000000"/>
          <w:kern w:val="0"/>
        </w:rPr>
        <w:t>5</w:t>
      </w:r>
      <w:r w:rsidRPr="00FF7433">
        <w:rPr>
          <w:rFonts w:ascii="Tahoma" w:hAnsi="Tahoma" w:cs="Tahoma"/>
          <w:color w:val="000000"/>
          <w:kern w:val="0"/>
        </w:rPr>
        <w:t xml:space="preserve"> </w:t>
      </w:r>
      <w:r>
        <w:rPr>
          <w:rFonts w:ascii="Tahoma" w:hAnsi="Tahoma" w:cs="Tahoma"/>
          <w:color w:val="000000"/>
          <w:kern w:val="0"/>
        </w:rPr>
        <w:t>la Entidad no cuenta con activos en suspenso.</w:t>
      </w:r>
    </w:p>
    <w:p w14:paraId="419D12E4" w14:textId="77777777" w:rsidR="00C36168" w:rsidRDefault="00C36168" w:rsidP="00C36168">
      <w:pPr>
        <w:autoSpaceDE w:val="0"/>
        <w:autoSpaceDN w:val="0"/>
        <w:adjustRightInd w:val="0"/>
        <w:spacing w:after="0" w:line="240" w:lineRule="auto"/>
        <w:jc w:val="both"/>
        <w:rPr>
          <w:rFonts w:ascii="Tahoma" w:hAnsi="Tahoma" w:cs="Tahoma"/>
          <w:color w:val="1F497D"/>
          <w:kern w:val="0"/>
        </w:rPr>
      </w:pPr>
    </w:p>
    <w:p w14:paraId="41EA9410" w14:textId="77777777" w:rsidR="00C36168" w:rsidRPr="00212DA1" w:rsidRDefault="00C36168" w:rsidP="00C36168">
      <w:pPr>
        <w:autoSpaceDE w:val="0"/>
        <w:autoSpaceDN w:val="0"/>
        <w:adjustRightInd w:val="0"/>
        <w:spacing w:after="120" w:line="240" w:lineRule="auto"/>
        <w:jc w:val="both"/>
        <w:rPr>
          <w:rFonts w:ascii="Tahoma" w:hAnsi="Tahoma" w:cs="Tahoma"/>
          <w:b/>
          <w:bCs/>
          <w:color w:val="626A1A" w:themeColor="accent3" w:themeShade="80"/>
          <w:kern w:val="0"/>
        </w:rPr>
      </w:pPr>
      <w:r w:rsidRPr="00212DA1">
        <w:rPr>
          <w:rFonts w:ascii="Tahoma" w:hAnsi="Tahoma" w:cs="Tahoma"/>
          <w:b/>
          <w:bCs/>
          <w:color w:val="626A1A" w:themeColor="accent3" w:themeShade="80"/>
          <w:kern w:val="0"/>
        </w:rPr>
        <w:t>4.8. Métodos utilizados para el cálculo de requerimientos de</w:t>
      </w:r>
      <w:r>
        <w:rPr>
          <w:rFonts w:ascii="Tahoma" w:hAnsi="Tahoma" w:cs="Tahoma"/>
          <w:b/>
          <w:bCs/>
          <w:color w:val="626A1A" w:themeColor="accent3" w:themeShade="80"/>
          <w:kern w:val="0"/>
        </w:rPr>
        <w:t xml:space="preserve"> </w:t>
      </w:r>
      <w:r w:rsidRPr="00212DA1">
        <w:rPr>
          <w:rFonts w:ascii="Tahoma" w:hAnsi="Tahoma" w:cs="Tahoma"/>
          <w:b/>
          <w:bCs/>
          <w:color w:val="626A1A" w:themeColor="accent3" w:themeShade="80"/>
          <w:kern w:val="0"/>
        </w:rPr>
        <w:t>recursos propios.</w:t>
      </w:r>
    </w:p>
    <w:p w14:paraId="5F3EFE7B" w14:textId="77777777" w:rsidR="00C36168" w:rsidRDefault="00C36168" w:rsidP="00C36168">
      <w:pPr>
        <w:autoSpaceDE w:val="0"/>
        <w:autoSpaceDN w:val="0"/>
        <w:adjustRightInd w:val="0"/>
        <w:spacing w:after="120" w:line="240" w:lineRule="auto"/>
        <w:jc w:val="both"/>
        <w:rPr>
          <w:rFonts w:ascii="Tahoma" w:hAnsi="Tahoma" w:cs="Tahoma"/>
          <w:color w:val="000000"/>
          <w:kern w:val="0"/>
        </w:rPr>
      </w:pPr>
      <w:r w:rsidRPr="00FF7433">
        <w:rPr>
          <w:rFonts w:ascii="Tahoma" w:hAnsi="Tahoma" w:cs="Tahoma"/>
          <w:color w:val="000000"/>
          <w:kern w:val="0"/>
        </w:rPr>
        <w:t>Para evaluar las necesidades de capital por riesgo operacional utilizamos el</w:t>
      </w:r>
      <w:r>
        <w:rPr>
          <w:rFonts w:ascii="Tahoma" w:hAnsi="Tahoma" w:cs="Tahoma"/>
          <w:color w:val="000000"/>
          <w:kern w:val="0"/>
        </w:rPr>
        <w:t xml:space="preserve"> </w:t>
      </w:r>
      <w:r w:rsidRPr="00FF7433">
        <w:rPr>
          <w:rFonts w:ascii="Tahoma" w:hAnsi="Tahoma" w:cs="Tahoma"/>
          <w:color w:val="000000"/>
          <w:kern w:val="0"/>
        </w:rPr>
        <w:t xml:space="preserve">Método del indicador </w:t>
      </w:r>
      <w:r>
        <w:rPr>
          <w:rFonts w:ascii="Tahoma" w:hAnsi="Tahoma" w:cs="Tahoma"/>
          <w:color w:val="000000"/>
          <w:kern w:val="0"/>
        </w:rPr>
        <w:t>de actividad</w:t>
      </w:r>
      <w:r w:rsidRPr="00FF7433">
        <w:rPr>
          <w:rFonts w:ascii="Tahoma" w:hAnsi="Tahoma" w:cs="Tahoma"/>
          <w:color w:val="000000"/>
          <w:kern w:val="0"/>
        </w:rPr>
        <w:t xml:space="preserve">, basado en los </w:t>
      </w:r>
      <w:r>
        <w:rPr>
          <w:rFonts w:ascii="Tahoma" w:hAnsi="Tahoma" w:cs="Tahoma"/>
          <w:color w:val="000000"/>
          <w:kern w:val="0"/>
        </w:rPr>
        <w:t>componentes financieros detallados en la siguiente fórmula: BI (Cálculo del indicador de actividad) = ILDC + SC + FC, dónde:</w:t>
      </w:r>
    </w:p>
    <w:p w14:paraId="0EB59844" w14:textId="77777777" w:rsidR="00C36168" w:rsidRPr="002B0595" w:rsidRDefault="00C36168" w:rsidP="00C36168">
      <w:pPr>
        <w:pStyle w:val="paragraph"/>
        <w:numPr>
          <w:ilvl w:val="0"/>
          <w:numId w:val="21"/>
        </w:numPr>
        <w:shd w:val="clear" w:color="auto" w:fill="FFFFFF"/>
        <w:rPr>
          <w:rFonts w:ascii="Tahoma" w:hAnsi="Tahoma" w:cs="Tahoma"/>
          <w:color w:val="303030"/>
          <w:sz w:val="22"/>
          <w:szCs w:val="22"/>
        </w:rPr>
      </w:pPr>
      <w:r w:rsidRPr="002B0595">
        <w:rPr>
          <w:rFonts w:ascii="Tahoma" w:hAnsi="Tahoma" w:cs="Tahoma"/>
          <w:color w:val="303030"/>
          <w:sz w:val="22"/>
          <w:szCs w:val="22"/>
          <w:u w:val="single"/>
        </w:rPr>
        <w:t>ILDC (Componente de intereses, arrendamientos y dividendos):</w:t>
      </w:r>
      <w:r w:rsidRPr="002B0595">
        <w:rPr>
          <w:rStyle w:val="ng-star-inserted"/>
          <w:rFonts w:ascii="Tahoma" w:eastAsiaTheme="majorEastAsia" w:hAnsi="Tahoma" w:cs="Tahoma"/>
          <w:color w:val="303030"/>
          <w:sz w:val="22"/>
          <w:szCs w:val="22"/>
        </w:rPr>
        <w:t xml:space="preserve"> Incluye los ingresos y gastos por intereses (calculados como la media de valores absolutos), activos que devengan intereses y dividendos recibidos.</w:t>
      </w:r>
    </w:p>
    <w:p w14:paraId="679F2B89" w14:textId="77777777" w:rsidR="00C36168" w:rsidRPr="002B0595" w:rsidRDefault="00C36168" w:rsidP="00C36168">
      <w:pPr>
        <w:pStyle w:val="paragraph"/>
        <w:numPr>
          <w:ilvl w:val="0"/>
          <w:numId w:val="21"/>
        </w:numPr>
        <w:shd w:val="clear" w:color="auto" w:fill="FFFFFF"/>
        <w:rPr>
          <w:rFonts w:ascii="Tahoma" w:hAnsi="Tahoma" w:cs="Tahoma"/>
          <w:color w:val="303030"/>
          <w:sz w:val="22"/>
          <w:szCs w:val="22"/>
        </w:rPr>
      </w:pPr>
      <w:r w:rsidRPr="002B0595">
        <w:rPr>
          <w:rFonts w:ascii="Tahoma" w:hAnsi="Tahoma" w:cs="Tahoma"/>
          <w:color w:val="303030"/>
          <w:sz w:val="22"/>
          <w:szCs w:val="22"/>
          <w:u w:val="single"/>
        </w:rPr>
        <w:t>SC (Componente de servicios):</w:t>
      </w:r>
      <w:r w:rsidRPr="002B0595">
        <w:rPr>
          <w:rStyle w:val="ng-star-inserted"/>
          <w:rFonts w:ascii="Tahoma" w:eastAsiaTheme="majorEastAsia" w:hAnsi="Tahoma" w:cs="Tahoma"/>
          <w:color w:val="303030"/>
          <w:sz w:val="22"/>
          <w:szCs w:val="22"/>
        </w:rPr>
        <w:t xml:space="preserve"> Se calcula como el mayor entre los otros ingresos y gastos de explotación, sumado al mayor entre los ingresos y gastos por comisiones.</w:t>
      </w:r>
    </w:p>
    <w:p w14:paraId="605627DF" w14:textId="77777777" w:rsidR="00C36168" w:rsidRPr="002B0595" w:rsidRDefault="00C36168" w:rsidP="00C36168">
      <w:pPr>
        <w:pStyle w:val="paragraph"/>
        <w:numPr>
          <w:ilvl w:val="0"/>
          <w:numId w:val="21"/>
        </w:numPr>
        <w:shd w:val="clear" w:color="auto" w:fill="FFFFFF"/>
        <w:rPr>
          <w:rFonts w:ascii="Tahoma" w:hAnsi="Tahoma" w:cs="Tahoma"/>
          <w:color w:val="303030"/>
          <w:sz w:val="22"/>
          <w:szCs w:val="22"/>
        </w:rPr>
      </w:pPr>
      <w:r w:rsidRPr="002B0595">
        <w:rPr>
          <w:rFonts w:ascii="Tahoma" w:hAnsi="Tahoma" w:cs="Tahoma"/>
          <w:color w:val="303030"/>
          <w:sz w:val="22"/>
          <w:szCs w:val="22"/>
          <w:u w:val="single"/>
        </w:rPr>
        <w:t>FC (Componente financiero):</w:t>
      </w:r>
      <w:r w:rsidRPr="002B0595">
        <w:rPr>
          <w:rStyle w:val="ng-star-inserted"/>
          <w:rFonts w:ascii="Tahoma" w:eastAsiaTheme="majorEastAsia" w:hAnsi="Tahoma" w:cs="Tahoma"/>
          <w:color w:val="303030"/>
          <w:sz w:val="22"/>
          <w:szCs w:val="22"/>
        </w:rPr>
        <w:t xml:space="preserve"> Incluye el resultado neto (media de valores absolutos) de la cartera de negociación y de la cartera bancaria.</w:t>
      </w:r>
    </w:p>
    <w:p w14:paraId="64446E93" w14:textId="77777777" w:rsidR="00C36168" w:rsidRPr="00FF7433" w:rsidRDefault="00C36168" w:rsidP="00C36168">
      <w:pPr>
        <w:autoSpaceDE w:val="0"/>
        <w:autoSpaceDN w:val="0"/>
        <w:adjustRightInd w:val="0"/>
        <w:spacing w:after="240" w:line="240" w:lineRule="auto"/>
        <w:jc w:val="both"/>
        <w:rPr>
          <w:rFonts w:ascii="Tahoma" w:hAnsi="Tahoma" w:cs="Tahoma"/>
          <w:color w:val="000000"/>
          <w:kern w:val="0"/>
        </w:rPr>
      </w:pPr>
      <w:r w:rsidRPr="00FF7433">
        <w:rPr>
          <w:rFonts w:ascii="Tahoma" w:hAnsi="Tahoma" w:cs="Tahoma"/>
          <w:color w:val="000000"/>
          <w:kern w:val="0"/>
        </w:rPr>
        <w:t>Siguiendo l</w:t>
      </w:r>
      <w:r>
        <w:rPr>
          <w:rFonts w:ascii="Tahoma" w:hAnsi="Tahoma" w:cs="Tahoma"/>
          <w:color w:val="000000"/>
          <w:kern w:val="0"/>
        </w:rPr>
        <w:t>os</w:t>
      </w:r>
      <w:r w:rsidRPr="00FF7433">
        <w:rPr>
          <w:rFonts w:ascii="Tahoma" w:hAnsi="Tahoma" w:cs="Tahoma"/>
          <w:color w:val="000000"/>
          <w:kern w:val="0"/>
        </w:rPr>
        <w:t xml:space="preserve"> </w:t>
      </w:r>
      <w:r>
        <w:rPr>
          <w:rFonts w:ascii="Tahoma" w:hAnsi="Tahoma" w:cs="Tahoma"/>
          <w:color w:val="000000"/>
          <w:kern w:val="0"/>
        </w:rPr>
        <w:t>artículos 313 y siguientes</w:t>
      </w:r>
      <w:r w:rsidRPr="00FF7433">
        <w:rPr>
          <w:rFonts w:ascii="Tahoma" w:hAnsi="Tahoma" w:cs="Tahoma"/>
          <w:color w:val="000000"/>
          <w:kern w:val="0"/>
        </w:rPr>
        <w:t xml:space="preserve"> del</w:t>
      </w:r>
      <w:r>
        <w:rPr>
          <w:rFonts w:ascii="Tahoma" w:hAnsi="Tahoma" w:cs="Tahoma"/>
          <w:color w:val="000000"/>
          <w:kern w:val="0"/>
        </w:rPr>
        <w:t xml:space="preserve"> Reglamento (UE) </w:t>
      </w:r>
      <w:proofErr w:type="spellStart"/>
      <w:r>
        <w:rPr>
          <w:rFonts w:ascii="Tahoma" w:hAnsi="Tahoma" w:cs="Tahoma"/>
          <w:color w:val="000000"/>
          <w:kern w:val="0"/>
        </w:rPr>
        <w:t>nº</w:t>
      </w:r>
      <w:proofErr w:type="spellEnd"/>
      <w:r>
        <w:rPr>
          <w:rFonts w:ascii="Tahoma" w:hAnsi="Tahoma" w:cs="Tahoma"/>
          <w:color w:val="000000"/>
          <w:kern w:val="0"/>
        </w:rPr>
        <w:t xml:space="preserve"> 575/2013, ob</w:t>
      </w:r>
      <w:r w:rsidRPr="00FF7433">
        <w:rPr>
          <w:rFonts w:ascii="Tahoma" w:hAnsi="Tahoma" w:cs="Tahoma"/>
          <w:color w:val="000000"/>
          <w:kern w:val="0"/>
        </w:rPr>
        <w:t>tenemos como</w:t>
      </w:r>
      <w:r>
        <w:rPr>
          <w:rFonts w:ascii="Tahoma" w:hAnsi="Tahoma" w:cs="Tahoma"/>
          <w:color w:val="000000"/>
          <w:kern w:val="0"/>
        </w:rPr>
        <w:t xml:space="preserve"> </w:t>
      </w:r>
      <w:r w:rsidRPr="00FF7433">
        <w:rPr>
          <w:rFonts w:ascii="Tahoma" w:hAnsi="Tahoma" w:cs="Tahoma"/>
          <w:color w:val="000000"/>
          <w:kern w:val="0"/>
        </w:rPr>
        <w:t xml:space="preserve">resultado la cifra de </w:t>
      </w:r>
      <w:r>
        <w:rPr>
          <w:rFonts w:ascii="Tahoma" w:hAnsi="Tahoma" w:cs="Tahoma"/>
          <w:color w:val="000000"/>
          <w:kern w:val="0"/>
        </w:rPr>
        <w:t>22</w:t>
      </w:r>
      <w:r w:rsidRPr="00FF7433">
        <w:rPr>
          <w:rFonts w:ascii="Tahoma" w:hAnsi="Tahoma" w:cs="Tahoma"/>
          <w:color w:val="000000"/>
          <w:kern w:val="0"/>
        </w:rPr>
        <w:t xml:space="preserve"> miles de euros.</w:t>
      </w:r>
    </w:p>
    <w:p w14:paraId="3052F211" w14:textId="77777777" w:rsidR="00C36168" w:rsidRDefault="00C36168" w:rsidP="00C36168">
      <w:pPr>
        <w:pStyle w:val="Default"/>
        <w:spacing w:after="120"/>
        <w:jc w:val="both"/>
        <w:rPr>
          <w:b/>
          <w:bCs/>
          <w:color w:val="939F27" w:themeColor="accent3" w:themeShade="BF"/>
          <w:sz w:val="22"/>
          <w:szCs w:val="22"/>
        </w:rPr>
      </w:pPr>
      <w:r>
        <w:rPr>
          <w:b/>
          <w:bCs/>
          <w:color w:val="939F27" w:themeColor="accent3" w:themeShade="BF"/>
          <w:sz w:val="22"/>
          <w:szCs w:val="22"/>
        </w:rPr>
        <w:t>5</w:t>
      </w:r>
      <w:r w:rsidRPr="00023BEC">
        <w:rPr>
          <w:b/>
          <w:bCs/>
          <w:color w:val="939F27" w:themeColor="accent3" w:themeShade="BF"/>
          <w:sz w:val="22"/>
          <w:szCs w:val="22"/>
        </w:rPr>
        <w:t xml:space="preserve">. </w:t>
      </w:r>
      <w:r>
        <w:rPr>
          <w:b/>
          <w:bCs/>
          <w:color w:val="939F27" w:themeColor="accent3" w:themeShade="BF"/>
          <w:sz w:val="22"/>
          <w:szCs w:val="22"/>
        </w:rPr>
        <w:t>Información sobre el riesgo de tipo de interés</w:t>
      </w:r>
    </w:p>
    <w:p w14:paraId="791D48E5" w14:textId="77777777" w:rsidR="00C36168" w:rsidRDefault="00C36168" w:rsidP="00C36168">
      <w:pPr>
        <w:pStyle w:val="Default"/>
        <w:spacing w:after="120"/>
        <w:jc w:val="both"/>
        <w:rPr>
          <w:sz w:val="22"/>
          <w:szCs w:val="22"/>
        </w:rPr>
      </w:pPr>
      <w:r w:rsidRPr="00FF7433">
        <w:rPr>
          <w:sz w:val="22"/>
          <w:szCs w:val="22"/>
        </w:rPr>
        <w:t xml:space="preserve">La </w:t>
      </w:r>
      <w:r>
        <w:rPr>
          <w:sz w:val="22"/>
          <w:szCs w:val="22"/>
        </w:rPr>
        <w:t>exposición al riesgo de tipo de interés de la Entidad, al cierre del ejercicio 2024, es muy reducido, representando su impacto un 0,42% como porcentaje de los recursos propios y un 3,15% como porcentaje del valor económico. En cuanto al impacto sobre el margen de intermediación sensible a los tipos de interés, en el horizonte de 1 año, el impacto se sitúa en un 3,79%.</w:t>
      </w:r>
    </w:p>
    <w:p w14:paraId="73826768" w14:textId="77777777" w:rsidR="00C36168" w:rsidRDefault="00C36168" w:rsidP="00C36168">
      <w:pPr>
        <w:pStyle w:val="Default"/>
        <w:spacing w:after="120"/>
        <w:jc w:val="both"/>
        <w:rPr>
          <w:b/>
          <w:bCs/>
          <w:color w:val="939F27" w:themeColor="accent3" w:themeShade="BF"/>
          <w:sz w:val="22"/>
          <w:szCs w:val="22"/>
        </w:rPr>
      </w:pPr>
      <w:r>
        <w:rPr>
          <w:sz w:val="22"/>
          <w:szCs w:val="22"/>
        </w:rPr>
        <w:t xml:space="preserve">Estos impactos tan reducidos proceden de tres aspectos fundamentales: i) cartera de préstamos a tipo fijo, </w:t>
      </w:r>
      <w:proofErr w:type="spellStart"/>
      <w:r>
        <w:rPr>
          <w:sz w:val="22"/>
          <w:szCs w:val="22"/>
        </w:rPr>
        <w:t>ii</w:t>
      </w:r>
      <w:proofErr w:type="spellEnd"/>
      <w:r>
        <w:rPr>
          <w:sz w:val="22"/>
          <w:szCs w:val="22"/>
        </w:rPr>
        <w:t xml:space="preserve">) financiación exclusiva por medio de las aportaciones de capital y una línea de financiación del accionista único, y </w:t>
      </w:r>
      <w:proofErr w:type="spellStart"/>
      <w:r>
        <w:rPr>
          <w:sz w:val="22"/>
          <w:szCs w:val="22"/>
        </w:rPr>
        <w:t>iii</w:t>
      </w:r>
      <w:proofErr w:type="spellEnd"/>
      <w:r>
        <w:rPr>
          <w:sz w:val="22"/>
          <w:szCs w:val="22"/>
        </w:rPr>
        <w:t>) ser una Entidad con muy pocos años de actividad y que está en proceso de crecimiento y construcción.</w:t>
      </w:r>
    </w:p>
    <w:p w14:paraId="6CC60879" w14:textId="77777777" w:rsidR="00C36168" w:rsidRDefault="00C36168" w:rsidP="00C36168">
      <w:pPr>
        <w:pStyle w:val="Default"/>
        <w:spacing w:after="120"/>
        <w:jc w:val="both"/>
        <w:rPr>
          <w:b/>
          <w:bCs/>
          <w:color w:val="939F27" w:themeColor="accent3" w:themeShade="BF"/>
          <w:sz w:val="22"/>
          <w:szCs w:val="22"/>
        </w:rPr>
      </w:pPr>
      <w:r>
        <w:rPr>
          <w:b/>
          <w:bCs/>
          <w:color w:val="939F27" w:themeColor="accent3" w:themeShade="BF"/>
          <w:sz w:val="22"/>
          <w:szCs w:val="22"/>
        </w:rPr>
        <w:t>6</w:t>
      </w:r>
      <w:r w:rsidRPr="00023BEC">
        <w:rPr>
          <w:b/>
          <w:bCs/>
          <w:color w:val="939F27" w:themeColor="accent3" w:themeShade="BF"/>
          <w:sz w:val="22"/>
          <w:szCs w:val="22"/>
        </w:rPr>
        <w:t xml:space="preserve">. </w:t>
      </w:r>
      <w:r>
        <w:rPr>
          <w:b/>
          <w:bCs/>
          <w:color w:val="939F27" w:themeColor="accent3" w:themeShade="BF"/>
          <w:sz w:val="22"/>
          <w:szCs w:val="22"/>
        </w:rPr>
        <w:t>Riesgo de liquidez y financiación</w:t>
      </w:r>
    </w:p>
    <w:p w14:paraId="0440085D" w14:textId="77777777" w:rsidR="00C36168" w:rsidRPr="00FF7433" w:rsidRDefault="00C36168" w:rsidP="00C36168">
      <w:pPr>
        <w:autoSpaceDE w:val="0"/>
        <w:autoSpaceDN w:val="0"/>
        <w:adjustRightInd w:val="0"/>
        <w:spacing w:after="120" w:line="240" w:lineRule="auto"/>
        <w:jc w:val="both"/>
        <w:rPr>
          <w:rFonts w:ascii="Tahoma" w:hAnsi="Tahoma" w:cs="Tahoma"/>
          <w:color w:val="000000"/>
          <w:kern w:val="0"/>
        </w:rPr>
      </w:pPr>
      <w:r w:rsidRPr="00FF7433">
        <w:rPr>
          <w:rFonts w:ascii="Tahoma" w:hAnsi="Tahoma" w:cs="Tahoma"/>
          <w:color w:val="000000"/>
          <w:kern w:val="0"/>
        </w:rPr>
        <w:t>La liquidez es la capacidad de una entidad financiera para financiar aumentos en</w:t>
      </w:r>
      <w:r>
        <w:rPr>
          <w:rFonts w:ascii="Tahoma" w:hAnsi="Tahoma" w:cs="Tahoma"/>
          <w:color w:val="000000"/>
          <w:kern w:val="0"/>
        </w:rPr>
        <w:t xml:space="preserve"> </w:t>
      </w:r>
      <w:r w:rsidRPr="00FF7433">
        <w:rPr>
          <w:rFonts w:ascii="Tahoma" w:hAnsi="Tahoma" w:cs="Tahoma"/>
          <w:color w:val="000000"/>
          <w:kern w:val="0"/>
        </w:rPr>
        <w:t>su volumen de activos y para cumplir puntualmente con sus obligaciones de pago</w:t>
      </w:r>
      <w:r>
        <w:rPr>
          <w:rFonts w:ascii="Tahoma" w:hAnsi="Tahoma" w:cs="Tahoma"/>
          <w:color w:val="000000"/>
          <w:kern w:val="0"/>
        </w:rPr>
        <w:t xml:space="preserve"> </w:t>
      </w:r>
      <w:r w:rsidRPr="00FF7433">
        <w:rPr>
          <w:rFonts w:ascii="Tahoma" w:hAnsi="Tahoma" w:cs="Tahoma"/>
          <w:color w:val="000000"/>
          <w:kern w:val="0"/>
        </w:rPr>
        <w:t xml:space="preserve">al </w:t>
      </w:r>
      <w:r w:rsidRPr="00FF7433">
        <w:rPr>
          <w:rFonts w:ascii="Tahoma" w:hAnsi="Tahoma" w:cs="Tahoma"/>
          <w:color w:val="000000"/>
          <w:kern w:val="0"/>
        </w:rPr>
        <w:lastRenderedPageBreak/>
        <w:t>vencimiento, sin incurrir en pérdidas inaceptables. En este contexto, el riesgo</w:t>
      </w:r>
      <w:r>
        <w:rPr>
          <w:rFonts w:ascii="Tahoma" w:hAnsi="Tahoma" w:cs="Tahoma"/>
          <w:color w:val="000000"/>
          <w:kern w:val="0"/>
        </w:rPr>
        <w:t xml:space="preserve"> </w:t>
      </w:r>
      <w:r w:rsidRPr="00FF7433">
        <w:rPr>
          <w:rFonts w:ascii="Tahoma" w:hAnsi="Tahoma" w:cs="Tahoma"/>
          <w:color w:val="000000"/>
          <w:kern w:val="0"/>
        </w:rPr>
        <w:t>de liquidez se define como la probabilidad de que la entidad incurra en pérdidas</w:t>
      </w:r>
      <w:r>
        <w:rPr>
          <w:rFonts w:ascii="Tahoma" w:hAnsi="Tahoma" w:cs="Tahoma"/>
          <w:color w:val="000000"/>
          <w:kern w:val="0"/>
        </w:rPr>
        <w:t xml:space="preserve"> </w:t>
      </w:r>
      <w:r w:rsidRPr="00FF7433">
        <w:rPr>
          <w:rFonts w:ascii="Tahoma" w:hAnsi="Tahoma" w:cs="Tahoma"/>
          <w:color w:val="000000"/>
          <w:kern w:val="0"/>
        </w:rPr>
        <w:t>o tenga que renunciar a oportunidades de negocio o crecimiento, debido a su</w:t>
      </w:r>
      <w:r>
        <w:rPr>
          <w:rFonts w:ascii="Tahoma" w:hAnsi="Tahoma" w:cs="Tahoma"/>
          <w:color w:val="000000"/>
          <w:kern w:val="0"/>
        </w:rPr>
        <w:t xml:space="preserve"> </w:t>
      </w:r>
      <w:r w:rsidRPr="00FF7433">
        <w:rPr>
          <w:rFonts w:ascii="Tahoma" w:hAnsi="Tahoma" w:cs="Tahoma"/>
          <w:color w:val="000000"/>
          <w:kern w:val="0"/>
        </w:rPr>
        <w:t>incapacidad para atender normalmente los compromisos a su vencimiento o para</w:t>
      </w:r>
      <w:r>
        <w:rPr>
          <w:rFonts w:ascii="Tahoma" w:hAnsi="Tahoma" w:cs="Tahoma"/>
          <w:color w:val="000000"/>
          <w:kern w:val="0"/>
        </w:rPr>
        <w:t xml:space="preserve"> </w:t>
      </w:r>
      <w:r w:rsidRPr="00FF7433">
        <w:rPr>
          <w:rFonts w:ascii="Tahoma" w:hAnsi="Tahoma" w:cs="Tahoma"/>
          <w:color w:val="000000"/>
          <w:kern w:val="0"/>
        </w:rPr>
        <w:t>financiar necesidades adicionales a costes de mercado.</w:t>
      </w:r>
    </w:p>
    <w:p w14:paraId="278D9BBF" w14:textId="77777777" w:rsidR="00C36168" w:rsidRPr="00FF7433" w:rsidRDefault="00C36168" w:rsidP="00C36168">
      <w:pPr>
        <w:autoSpaceDE w:val="0"/>
        <w:autoSpaceDN w:val="0"/>
        <w:adjustRightInd w:val="0"/>
        <w:spacing w:after="120" w:line="240" w:lineRule="auto"/>
        <w:jc w:val="both"/>
        <w:rPr>
          <w:rFonts w:ascii="Tahoma" w:hAnsi="Tahoma" w:cs="Tahoma"/>
          <w:color w:val="000000"/>
          <w:kern w:val="0"/>
        </w:rPr>
      </w:pPr>
      <w:r w:rsidRPr="00FF7433">
        <w:rPr>
          <w:rFonts w:ascii="Tahoma" w:hAnsi="Tahoma" w:cs="Tahoma"/>
          <w:color w:val="000000"/>
          <w:kern w:val="0"/>
        </w:rPr>
        <w:t>El Real Decreto 309/2020, de 11 de febrero, sobre el régimen jurídico de los</w:t>
      </w:r>
      <w:r>
        <w:rPr>
          <w:rFonts w:ascii="Tahoma" w:hAnsi="Tahoma" w:cs="Tahoma"/>
          <w:color w:val="000000"/>
          <w:kern w:val="0"/>
        </w:rPr>
        <w:t xml:space="preserve"> EFC</w:t>
      </w:r>
      <w:r w:rsidRPr="00FF7433">
        <w:rPr>
          <w:rFonts w:ascii="Tahoma" w:hAnsi="Tahoma" w:cs="Tahoma"/>
          <w:color w:val="000000"/>
          <w:kern w:val="0"/>
        </w:rPr>
        <w:t xml:space="preserve"> y por el que se modifica el Reglamento del</w:t>
      </w:r>
      <w:r>
        <w:rPr>
          <w:rFonts w:ascii="Tahoma" w:hAnsi="Tahoma" w:cs="Tahoma"/>
          <w:color w:val="000000"/>
          <w:kern w:val="0"/>
        </w:rPr>
        <w:t xml:space="preserve"> </w:t>
      </w:r>
      <w:r w:rsidRPr="00FF7433">
        <w:rPr>
          <w:rFonts w:ascii="Tahoma" w:hAnsi="Tahoma" w:cs="Tahoma"/>
          <w:color w:val="000000"/>
          <w:kern w:val="0"/>
        </w:rPr>
        <w:t>Registro Mercantil, aprobado por el Real Decreto 1784/1996, de 19 de julio, y el</w:t>
      </w:r>
      <w:r>
        <w:rPr>
          <w:rFonts w:ascii="Tahoma" w:hAnsi="Tahoma" w:cs="Tahoma"/>
          <w:color w:val="000000"/>
          <w:kern w:val="0"/>
        </w:rPr>
        <w:t xml:space="preserve"> </w:t>
      </w:r>
      <w:r w:rsidRPr="00FF7433">
        <w:rPr>
          <w:rFonts w:ascii="Tahoma" w:hAnsi="Tahoma" w:cs="Tahoma"/>
          <w:color w:val="000000"/>
          <w:kern w:val="0"/>
        </w:rPr>
        <w:t>Real Decreto 84/2015, de 13 de febrero, por el que se desarrolla la Ley 10/2014,</w:t>
      </w:r>
      <w:r>
        <w:rPr>
          <w:rFonts w:ascii="Tahoma" w:hAnsi="Tahoma" w:cs="Tahoma"/>
          <w:color w:val="000000"/>
          <w:kern w:val="0"/>
        </w:rPr>
        <w:t xml:space="preserve"> </w:t>
      </w:r>
      <w:r w:rsidRPr="00FF7433">
        <w:rPr>
          <w:rFonts w:ascii="Tahoma" w:hAnsi="Tahoma" w:cs="Tahoma"/>
          <w:color w:val="000000"/>
          <w:kern w:val="0"/>
        </w:rPr>
        <w:t>de 26 de junio, de ordenación, supervisión y solvencia de entidades de crédito</w:t>
      </w:r>
      <w:r>
        <w:rPr>
          <w:rFonts w:ascii="Tahoma" w:hAnsi="Tahoma" w:cs="Tahoma"/>
          <w:color w:val="000000"/>
          <w:kern w:val="0"/>
        </w:rPr>
        <w:t xml:space="preserve"> </w:t>
      </w:r>
      <w:r w:rsidRPr="00FF7433">
        <w:rPr>
          <w:rFonts w:ascii="Tahoma" w:hAnsi="Tahoma" w:cs="Tahoma"/>
          <w:color w:val="000000"/>
          <w:kern w:val="0"/>
        </w:rPr>
        <w:t xml:space="preserve">establece que </w:t>
      </w:r>
      <w:r>
        <w:rPr>
          <w:rFonts w:ascii="Tahoma" w:hAnsi="Tahoma" w:cs="Tahoma"/>
          <w:color w:val="000000"/>
          <w:kern w:val="0"/>
        </w:rPr>
        <w:t>l</w:t>
      </w:r>
      <w:r w:rsidRPr="00FF7433">
        <w:rPr>
          <w:rFonts w:ascii="Tahoma" w:hAnsi="Tahoma" w:cs="Tahoma"/>
          <w:color w:val="000000"/>
          <w:kern w:val="0"/>
        </w:rPr>
        <w:t xml:space="preserve">os </w:t>
      </w:r>
      <w:r>
        <w:rPr>
          <w:rFonts w:ascii="Tahoma" w:hAnsi="Tahoma" w:cs="Tahoma"/>
          <w:color w:val="000000"/>
          <w:kern w:val="0"/>
        </w:rPr>
        <w:t>EFC</w:t>
      </w:r>
      <w:r w:rsidRPr="00FF7433">
        <w:rPr>
          <w:rFonts w:ascii="Tahoma" w:hAnsi="Tahoma" w:cs="Tahoma"/>
          <w:color w:val="000000"/>
          <w:kern w:val="0"/>
        </w:rPr>
        <w:t xml:space="preserve"> y a los grupos</w:t>
      </w:r>
      <w:r>
        <w:rPr>
          <w:rFonts w:ascii="Tahoma" w:hAnsi="Tahoma" w:cs="Tahoma"/>
          <w:color w:val="000000"/>
          <w:kern w:val="0"/>
        </w:rPr>
        <w:t xml:space="preserve"> </w:t>
      </w:r>
      <w:r w:rsidRPr="00FF7433">
        <w:rPr>
          <w:rFonts w:ascii="Tahoma" w:hAnsi="Tahoma" w:cs="Tahoma"/>
          <w:color w:val="000000"/>
          <w:kern w:val="0"/>
        </w:rPr>
        <w:t xml:space="preserve">consolidables de </w:t>
      </w:r>
      <w:r>
        <w:rPr>
          <w:rFonts w:ascii="Tahoma" w:hAnsi="Tahoma" w:cs="Tahoma"/>
          <w:color w:val="000000"/>
          <w:kern w:val="0"/>
        </w:rPr>
        <w:t>EFC</w:t>
      </w:r>
      <w:r w:rsidRPr="00FF7433">
        <w:rPr>
          <w:rFonts w:ascii="Tahoma" w:hAnsi="Tahoma" w:cs="Tahoma"/>
          <w:color w:val="000000"/>
          <w:kern w:val="0"/>
        </w:rPr>
        <w:t xml:space="preserve"> deberán contar en todo</w:t>
      </w:r>
      <w:r>
        <w:rPr>
          <w:rFonts w:ascii="Tahoma" w:hAnsi="Tahoma" w:cs="Tahoma"/>
          <w:color w:val="000000"/>
          <w:kern w:val="0"/>
        </w:rPr>
        <w:t xml:space="preserve"> </w:t>
      </w:r>
      <w:r w:rsidRPr="00FF7433">
        <w:rPr>
          <w:rFonts w:ascii="Tahoma" w:hAnsi="Tahoma" w:cs="Tahoma"/>
          <w:color w:val="000000"/>
          <w:kern w:val="0"/>
        </w:rPr>
        <w:t>momento con un colchón de liquidez de alta calidad crediticia que les permita</w:t>
      </w:r>
      <w:r>
        <w:rPr>
          <w:rFonts w:ascii="Tahoma" w:hAnsi="Tahoma" w:cs="Tahoma"/>
          <w:color w:val="000000"/>
          <w:kern w:val="0"/>
        </w:rPr>
        <w:t xml:space="preserve"> </w:t>
      </w:r>
      <w:r w:rsidRPr="00FF7433">
        <w:rPr>
          <w:rFonts w:ascii="Tahoma" w:hAnsi="Tahoma" w:cs="Tahoma"/>
          <w:color w:val="000000"/>
          <w:kern w:val="0"/>
        </w:rPr>
        <w:t>hacer frente a sus salidas netas de caja durante un periodo de grave inestabilidad</w:t>
      </w:r>
      <w:r>
        <w:rPr>
          <w:rFonts w:ascii="Tahoma" w:hAnsi="Tahoma" w:cs="Tahoma"/>
          <w:color w:val="000000"/>
          <w:kern w:val="0"/>
        </w:rPr>
        <w:t xml:space="preserve"> </w:t>
      </w:r>
      <w:r w:rsidRPr="00FF7433">
        <w:rPr>
          <w:rFonts w:ascii="Tahoma" w:hAnsi="Tahoma" w:cs="Tahoma"/>
          <w:color w:val="000000"/>
          <w:kern w:val="0"/>
        </w:rPr>
        <w:t>financiera, así como mantener una estructura adecuada de fuentes de financiación</w:t>
      </w:r>
      <w:r>
        <w:rPr>
          <w:rFonts w:ascii="Tahoma" w:hAnsi="Tahoma" w:cs="Tahoma"/>
          <w:color w:val="000000"/>
          <w:kern w:val="0"/>
        </w:rPr>
        <w:t xml:space="preserve"> </w:t>
      </w:r>
      <w:r w:rsidRPr="00FF7433">
        <w:rPr>
          <w:rFonts w:ascii="Tahoma" w:hAnsi="Tahoma" w:cs="Tahoma"/>
          <w:color w:val="000000"/>
          <w:kern w:val="0"/>
        </w:rPr>
        <w:t>y de vencimientos en sus activos, pasivos y compromisos, con el fin de evitar</w:t>
      </w:r>
      <w:r>
        <w:rPr>
          <w:rFonts w:ascii="Tahoma" w:hAnsi="Tahoma" w:cs="Tahoma"/>
          <w:color w:val="000000"/>
          <w:kern w:val="0"/>
        </w:rPr>
        <w:t xml:space="preserve"> </w:t>
      </w:r>
      <w:r w:rsidRPr="00FF7433">
        <w:rPr>
          <w:rFonts w:ascii="Tahoma" w:hAnsi="Tahoma" w:cs="Tahoma"/>
          <w:color w:val="000000"/>
          <w:kern w:val="0"/>
        </w:rPr>
        <w:t>potenciales desequilibrios o tensiones de liquidez que puedan dañar o poner en</w:t>
      </w:r>
      <w:r>
        <w:rPr>
          <w:rFonts w:ascii="Tahoma" w:hAnsi="Tahoma" w:cs="Tahoma"/>
          <w:color w:val="000000"/>
          <w:kern w:val="0"/>
        </w:rPr>
        <w:t xml:space="preserve"> </w:t>
      </w:r>
      <w:r w:rsidRPr="00FF7433">
        <w:rPr>
          <w:rFonts w:ascii="Tahoma" w:hAnsi="Tahoma" w:cs="Tahoma"/>
          <w:color w:val="000000"/>
          <w:kern w:val="0"/>
        </w:rPr>
        <w:t>riesgo la situación financiera de la entidad, en los términos que determine el</w:t>
      </w:r>
      <w:r>
        <w:rPr>
          <w:rFonts w:ascii="Tahoma" w:hAnsi="Tahoma" w:cs="Tahoma"/>
          <w:color w:val="000000"/>
          <w:kern w:val="0"/>
        </w:rPr>
        <w:t xml:space="preserve"> </w:t>
      </w:r>
      <w:r w:rsidRPr="00FF7433">
        <w:rPr>
          <w:rFonts w:ascii="Tahoma" w:hAnsi="Tahoma" w:cs="Tahoma"/>
          <w:color w:val="000000"/>
          <w:kern w:val="0"/>
        </w:rPr>
        <w:t>Banco de España.</w:t>
      </w:r>
    </w:p>
    <w:p w14:paraId="7E9CBE8E" w14:textId="77777777" w:rsidR="00C36168" w:rsidRPr="00FF7433" w:rsidRDefault="00C36168" w:rsidP="00C36168">
      <w:pPr>
        <w:autoSpaceDE w:val="0"/>
        <w:autoSpaceDN w:val="0"/>
        <w:adjustRightInd w:val="0"/>
        <w:spacing w:after="120" w:line="240" w:lineRule="auto"/>
        <w:jc w:val="both"/>
        <w:rPr>
          <w:rFonts w:ascii="Tahoma" w:hAnsi="Tahoma" w:cs="Tahoma"/>
          <w:color w:val="000000"/>
          <w:kern w:val="0"/>
        </w:rPr>
      </w:pPr>
      <w:r w:rsidRPr="00FF7433">
        <w:rPr>
          <w:rFonts w:ascii="Tahoma" w:hAnsi="Tahoma" w:cs="Tahoma"/>
          <w:color w:val="000000"/>
          <w:kern w:val="0"/>
        </w:rPr>
        <w:t>La normativa del Banco de España, incluyendo la Circular 1/2022, de 24 de</w:t>
      </w:r>
      <w:r>
        <w:rPr>
          <w:rFonts w:ascii="Tahoma" w:hAnsi="Tahoma" w:cs="Tahoma"/>
          <w:color w:val="000000"/>
          <w:kern w:val="0"/>
        </w:rPr>
        <w:t xml:space="preserve"> </w:t>
      </w:r>
      <w:r w:rsidRPr="00FF7433">
        <w:rPr>
          <w:rFonts w:ascii="Tahoma" w:hAnsi="Tahoma" w:cs="Tahoma"/>
          <w:color w:val="000000"/>
          <w:kern w:val="0"/>
        </w:rPr>
        <w:t>enero, del Banco de España, obliga a las EFC a informar periódicamente sobre su</w:t>
      </w:r>
      <w:r>
        <w:rPr>
          <w:rFonts w:ascii="Tahoma" w:hAnsi="Tahoma" w:cs="Tahoma"/>
          <w:color w:val="000000"/>
          <w:kern w:val="0"/>
        </w:rPr>
        <w:t xml:space="preserve"> </w:t>
      </w:r>
      <w:r w:rsidRPr="00FF7433">
        <w:rPr>
          <w:rFonts w:ascii="Tahoma" w:hAnsi="Tahoma" w:cs="Tahoma"/>
          <w:color w:val="000000"/>
          <w:kern w:val="0"/>
        </w:rPr>
        <w:t>colchón de liquidez y la composición de sus fuentes de financiación, con el fin de</w:t>
      </w:r>
      <w:r>
        <w:rPr>
          <w:rFonts w:ascii="Tahoma" w:hAnsi="Tahoma" w:cs="Tahoma"/>
          <w:color w:val="000000"/>
          <w:kern w:val="0"/>
        </w:rPr>
        <w:t xml:space="preserve"> </w:t>
      </w:r>
      <w:r w:rsidRPr="00FF7433">
        <w:rPr>
          <w:rFonts w:ascii="Tahoma" w:hAnsi="Tahoma" w:cs="Tahoma"/>
          <w:color w:val="000000"/>
          <w:kern w:val="0"/>
        </w:rPr>
        <w:t>garantizar una gestión prudente y sostenible del riesgo de liquidez.</w:t>
      </w:r>
    </w:p>
    <w:p w14:paraId="5E475B6C" w14:textId="77777777" w:rsidR="00C36168" w:rsidRPr="00AB793B" w:rsidRDefault="00C36168" w:rsidP="00C36168">
      <w:pPr>
        <w:pStyle w:val="Prrafodelista"/>
        <w:numPr>
          <w:ilvl w:val="0"/>
          <w:numId w:val="20"/>
        </w:numPr>
        <w:autoSpaceDE w:val="0"/>
        <w:autoSpaceDN w:val="0"/>
        <w:adjustRightInd w:val="0"/>
        <w:spacing w:after="120" w:line="240" w:lineRule="auto"/>
        <w:jc w:val="both"/>
        <w:rPr>
          <w:rFonts w:ascii="Tahoma" w:hAnsi="Tahoma" w:cs="Tahoma"/>
          <w:color w:val="000000"/>
          <w:kern w:val="0"/>
        </w:rPr>
      </w:pPr>
      <w:r w:rsidRPr="00AB793B">
        <w:rPr>
          <w:rFonts w:ascii="Tahoma" w:hAnsi="Tahoma" w:cs="Tahoma"/>
          <w:color w:val="000000"/>
          <w:kern w:val="0"/>
        </w:rPr>
        <w:t>LCR (</w:t>
      </w:r>
      <w:proofErr w:type="spellStart"/>
      <w:r w:rsidRPr="00AB793B">
        <w:rPr>
          <w:rFonts w:ascii="Tahoma" w:hAnsi="Tahoma" w:cs="Tahoma"/>
          <w:color w:val="000000"/>
          <w:kern w:val="0"/>
        </w:rPr>
        <w:t>Liquidity</w:t>
      </w:r>
      <w:proofErr w:type="spellEnd"/>
      <w:r w:rsidRPr="00AB793B">
        <w:rPr>
          <w:rFonts w:ascii="Tahoma" w:hAnsi="Tahoma" w:cs="Tahoma"/>
          <w:color w:val="000000"/>
          <w:kern w:val="0"/>
        </w:rPr>
        <w:t xml:space="preserve"> </w:t>
      </w:r>
      <w:proofErr w:type="spellStart"/>
      <w:r w:rsidRPr="00AB793B">
        <w:rPr>
          <w:rFonts w:ascii="Tahoma" w:hAnsi="Tahoma" w:cs="Tahoma"/>
          <w:color w:val="000000"/>
          <w:kern w:val="0"/>
        </w:rPr>
        <w:t>Coverage</w:t>
      </w:r>
      <w:proofErr w:type="spellEnd"/>
      <w:r w:rsidRPr="00AB793B">
        <w:rPr>
          <w:rFonts w:ascii="Tahoma" w:hAnsi="Tahoma" w:cs="Tahoma"/>
          <w:color w:val="000000"/>
          <w:kern w:val="0"/>
        </w:rPr>
        <w:t xml:space="preserve"> Ratio), ratio de cobertura de liquidez, se traduce en los </w:t>
      </w:r>
      <w:r>
        <w:rPr>
          <w:rFonts w:ascii="Tahoma" w:hAnsi="Tahoma" w:cs="Tahoma"/>
          <w:color w:val="000000"/>
          <w:kern w:val="0"/>
        </w:rPr>
        <w:t>EFC</w:t>
      </w:r>
      <w:r w:rsidRPr="00AB793B">
        <w:rPr>
          <w:rFonts w:ascii="Tahoma" w:hAnsi="Tahoma" w:cs="Tahoma"/>
          <w:color w:val="000000"/>
          <w:kern w:val="0"/>
        </w:rPr>
        <w:t xml:space="preserve"> en el colchón de liquidez, indicador que señala la capacidad de La Entidad de hacer frente a sus salidas netas de caja durante un periodo de grave inestabilidad financiera, así como mantener una estructura adecuada de fuentes de financiación y de vencimientos en sus activos, pasivos y compromisos, con el fin de evitar potenciales desequilibrios o tensiones de liquidez que puedan dañar o poner en riesgo la situación financiera de la entidad, en los términos que</w:t>
      </w:r>
      <w:r>
        <w:rPr>
          <w:rFonts w:ascii="Tahoma" w:hAnsi="Tahoma" w:cs="Tahoma"/>
          <w:color w:val="000000"/>
          <w:kern w:val="0"/>
        </w:rPr>
        <w:t xml:space="preserve"> </w:t>
      </w:r>
      <w:r w:rsidRPr="00AB793B">
        <w:rPr>
          <w:rFonts w:ascii="Tahoma" w:hAnsi="Tahoma" w:cs="Tahoma"/>
          <w:color w:val="000000"/>
          <w:kern w:val="0"/>
        </w:rPr>
        <w:t>determine el Banco de España.</w:t>
      </w:r>
    </w:p>
    <w:p w14:paraId="728B3897" w14:textId="77777777" w:rsidR="00C36168" w:rsidRPr="00AB793B" w:rsidRDefault="00C36168" w:rsidP="00C36168">
      <w:pPr>
        <w:pStyle w:val="Prrafodelista"/>
        <w:numPr>
          <w:ilvl w:val="0"/>
          <w:numId w:val="20"/>
        </w:numPr>
        <w:autoSpaceDE w:val="0"/>
        <w:autoSpaceDN w:val="0"/>
        <w:adjustRightInd w:val="0"/>
        <w:spacing w:after="120" w:line="240" w:lineRule="auto"/>
        <w:jc w:val="both"/>
        <w:rPr>
          <w:rFonts w:ascii="Tahoma" w:hAnsi="Tahoma" w:cs="Tahoma"/>
          <w:color w:val="000000"/>
          <w:kern w:val="0"/>
        </w:rPr>
      </w:pPr>
      <w:r w:rsidRPr="00AB793B">
        <w:rPr>
          <w:rFonts w:ascii="Tahoma" w:hAnsi="Tahoma" w:cs="Tahoma"/>
          <w:color w:val="000000"/>
          <w:kern w:val="0"/>
        </w:rPr>
        <w:t>NSFR</w:t>
      </w:r>
      <w:r>
        <w:rPr>
          <w:rFonts w:ascii="Tahoma" w:hAnsi="Tahoma" w:cs="Tahoma"/>
          <w:color w:val="000000"/>
          <w:kern w:val="0"/>
        </w:rPr>
        <w:t xml:space="preserve"> </w:t>
      </w:r>
      <w:r w:rsidRPr="00AB793B">
        <w:rPr>
          <w:rFonts w:ascii="Tahoma" w:hAnsi="Tahoma" w:cs="Tahoma"/>
          <w:color w:val="000000"/>
          <w:kern w:val="0"/>
        </w:rPr>
        <w:t xml:space="preserve">(Net </w:t>
      </w:r>
      <w:proofErr w:type="spellStart"/>
      <w:r w:rsidRPr="00AB793B">
        <w:rPr>
          <w:rFonts w:ascii="Tahoma" w:hAnsi="Tahoma" w:cs="Tahoma"/>
          <w:color w:val="000000"/>
          <w:kern w:val="0"/>
        </w:rPr>
        <w:t>stable</w:t>
      </w:r>
      <w:proofErr w:type="spellEnd"/>
      <w:r w:rsidRPr="00AB793B">
        <w:rPr>
          <w:rFonts w:ascii="Tahoma" w:hAnsi="Tahoma" w:cs="Tahoma"/>
          <w:color w:val="000000"/>
          <w:kern w:val="0"/>
        </w:rPr>
        <w:t xml:space="preserve"> </w:t>
      </w:r>
      <w:proofErr w:type="spellStart"/>
      <w:r w:rsidRPr="00AB793B">
        <w:rPr>
          <w:rFonts w:ascii="Tahoma" w:hAnsi="Tahoma" w:cs="Tahoma"/>
          <w:color w:val="000000"/>
          <w:kern w:val="0"/>
        </w:rPr>
        <w:t>funding</w:t>
      </w:r>
      <w:proofErr w:type="spellEnd"/>
      <w:r w:rsidRPr="00AB793B">
        <w:rPr>
          <w:rFonts w:ascii="Tahoma" w:hAnsi="Tahoma" w:cs="Tahoma"/>
          <w:color w:val="000000"/>
          <w:kern w:val="0"/>
        </w:rPr>
        <w:t xml:space="preserve"> ratio) es el cálculo simplificado de la ratio de financiación estable neta, traducido en los </w:t>
      </w:r>
      <w:r>
        <w:rPr>
          <w:rFonts w:ascii="Tahoma" w:hAnsi="Tahoma" w:cs="Tahoma"/>
          <w:color w:val="000000"/>
          <w:kern w:val="0"/>
        </w:rPr>
        <w:t>EFC</w:t>
      </w:r>
      <w:r w:rsidRPr="00AB793B">
        <w:rPr>
          <w:rFonts w:ascii="Tahoma" w:hAnsi="Tahoma" w:cs="Tahoma"/>
          <w:color w:val="000000"/>
          <w:kern w:val="0"/>
        </w:rPr>
        <w:t xml:space="preserve"> en la obligación de mantener una estructura adecuada de fuentes de financiación y de vencimientos de activos, pasivos y compromisos prevista para las entidades de crédito en la revisión del Reglamento (UE) n.º 575/2013 del Parlamento Europeo y del Consejo, de 26 de junio de</w:t>
      </w:r>
      <w:r>
        <w:rPr>
          <w:rFonts w:ascii="Tahoma" w:hAnsi="Tahoma" w:cs="Tahoma"/>
          <w:color w:val="000000"/>
          <w:kern w:val="0"/>
        </w:rPr>
        <w:t xml:space="preserve"> </w:t>
      </w:r>
      <w:r w:rsidRPr="00AB793B">
        <w:rPr>
          <w:rFonts w:ascii="Tahoma" w:hAnsi="Tahoma" w:cs="Tahoma"/>
          <w:color w:val="000000"/>
          <w:kern w:val="0"/>
        </w:rPr>
        <w:t>2013.</w:t>
      </w:r>
    </w:p>
    <w:p w14:paraId="6206EA72" w14:textId="77777777" w:rsidR="00C36168" w:rsidRPr="00FF7433" w:rsidRDefault="00C36168" w:rsidP="00C36168">
      <w:pPr>
        <w:autoSpaceDE w:val="0"/>
        <w:autoSpaceDN w:val="0"/>
        <w:adjustRightInd w:val="0"/>
        <w:spacing w:after="120" w:line="240" w:lineRule="auto"/>
        <w:jc w:val="both"/>
        <w:rPr>
          <w:rFonts w:ascii="Tahoma" w:hAnsi="Tahoma" w:cs="Tahoma"/>
          <w:color w:val="000000"/>
          <w:kern w:val="0"/>
        </w:rPr>
      </w:pPr>
      <w:r w:rsidRPr="00FF7433">
        <w:rPr>
          <w:rFonts w:ascii="Tahoma" w:hAnsi="Tahoma" w:cs="Tahoma"/>
          <w:color w:val="000000"/>
          <w:kern w:val="0"/>
        </w:rPr>
        <w:t>La circular 1/2022, de 24 de enero, del Banco de España adapta los estados</w:t>
      </w:r>
      <w:r>
        <w:rPr>
          <w:rFonts w:ascii="Tahoma" w:hAnsi="Tahoma" w:cs="Tahoma"/>
          <w:color w:val="000000"/>
          <w:kern w:val="0"/>
        </w:rPr>
        <w:t xml:space="preserve"> </w:t>
      </w:r>
      <w:r w:rsidRPr="00FF7433">
        <w:rPr>
          <w:rFonts w:ascii="Tahoma" w:hAnsi="Tahoma" w:cs="Tahoma"/>
          <w:color w:val="000000"/>
          <w:kern w:val="0"/>
        </w:rPr>
        <w:t>actualmente vigentes de la LCR y de la NSFR de las entidades de crédito,</w:t>
      </w:r>
      <w:r>
        <w:rPr>
          <w:rFonts w:ascii="Tahoma" w:hAnsi="Tahoma" w:cs="Tahoma"/>
          <w:color w:val="000000"/>
          <w:kern w:val="0"/>
        </w:rPr>
        <w:t xml:space="preserve"> </w:t>
      </w:r>
      <w:r w:rsidRPr="00FF7433">
        <w:rPr>
          <w:rFonts w:ascii="Tahoma" w:hAnsi="Tahoma" w:cs="Tahoma"/>
          <w:color w:val="000000"/>
          <w:kern w:val="0"/>
        </w:rPr>
        <w:t xml:space="preserve">modificándolos para tener en cuenta la reducida operativa de los </w:t>
      </w:r>
      <w:r>
        <w:rPr>
          <w:rFonts w:ascii="Tahoma" w:hAnsi="Tahoma" w:cs="Tahoma"/>
          <w:color w:val="000000"/>
          <w:kern w:val="0"/>
        </w:rPr>
        <w:t>EFC</w:t>
      </w:r>
      <w:r w:rsidRPr="00FF7433">
        <w:rPr>
          <w:rFonts w:ascii="Tahoma" w:hAnsi="Tahoma" w:cs="Tahoma"/>
          <w:color w:val="000000"/>
          <w:kern w:val="0"/>
        </w:rPr>
        <w:t>, conforme al principio de proporcionalidad, e incorporando</w:t>
      </w:r>
      <w:r>
        <w:rPr>
          <w:rFonts w:ascii="Tahoma" w:hAnsi="Tahoma" w:cs="Tahoma"/>
          <w:color w:val="000000"/>
          <w:kern w:val="0"/>
        </w:rPr>
        <w:t xml:space="preserve"> </w:t>
      </w:r>
      <w:r w:rsidRPr="00FF7433">
        <w:rPr>
          <w:rFonts w:ascii="Tahoma" w:hAnsi="Tahoma" w:cs="Tahoma"/>
          <w:color w:val="000000"/>
          <w:kern w:val="0"/>
        </w:rPr>
        <w:t>las particularidades establecidas en el Real Decreto 309/2020.</w:t>
      </w:r>
    </w:p>
    <w:p w14:paraId="3E5CFF57" w14:textId="77777777" w:rsidR="00C36168" w:rsidRDefault="00C36168" w:rsidP="00C36168">
      <w:pPr>
        <w:autoSpaceDE w:val="0"/>
        <w:autoSpaceDN w:val="0"/>
        <w:adjustRightInd w:val="0"/>
        <w:spacing w:after="0" w:line="240" w:lineRule="auto"/>
        <w:jc w:val="both"/>
        <w:rPr>
          <w:rFonts w:ascii="Tahoma" w:hAnsi="Tahoma" w:cs="Tahoma"/>
          <w:color w:val="000000"/>
          <w:kern w:val="0"/>
        </w:rPr>
      </w:pPr>
      <w:r w:rsidRPr="00FF7433">
        <w:rPr>
          <w:rFonts w:ascii="Tahoma" w:hAnsi="Tahoma" w:cs="Tahoma"/>
          <w:color w:val="000000"/>
          <w:kern w:val="0"/>
        </w:rPr>
        <w:t>El detalle de ratios de liquidez de 202</w:t>
      </w:r>
      <w:r>
        <w:rPr>
          <w:rFonts w:ascii="Tahoma" w:hAnsi="Tahoma" w:cs="Tahoma"/>
          <w:color w:val="000000"/>
          <w:kern w:val="0"/>
        </w:rPr>
        <w:t>5</w:t>
      </w:r>
      <w:r w:rsidRPr="00FF7433">
        <w:rPr>
          <w:rFonts w:ascii="Tahoma" w:hAnsi="Tahoma" w:cs="Tahoma"/>
          <w:color w:val="000000"/>
          <w:kern w:val="0"/>
        </w:rPr>
        <w:t xml:space="preserve"> en este contexto es:</w:t>
      </w:r>
    </w:p>
    <w:p w14:paraId="10BC83FA" w14:textId="77777777" w:rsidR="00C36168" w:rsidRDefault="00C36168" w:rsidP="00C36168">
      <w:pPr>
        <w:autoSpaceDE w:val="0"/>
        <w:autoSpaceDN w:val="0"/>
        <w:adjustRightInd w:val="0"/>
        <w:spacing w:after="0" w:line="240" w:lineRule="auto"/>
        <w:jc w:val="both"/>
        <w:rPr>
          <w:rFonts w:ascii="Tahoma" w:hAnsi="Tahoma" w:cs="Tahoma"/>
          <w:color w:val="000000"/>
          <w:kern w:val="0"/>
        </w:rPr>
      </w:pPr>
    </w:p>
    <w:tbl>
      <w:tblPr>
        <w:tblW w:w="4980" w:type="dxa"/>
        <w:tblCellMar>
          <w:left w:w="70" w:type="dxa"/>
          <w:right w:w="70" w:type="dxa"/>
        </w:tblCellMar>
        <w:tblLook w:val="04A0" w:firstRow="1" w:lastRow="0" w:firstColumn="1" w:lastColumn="0" w:noHBand="0" w:noVBand="1"/>
      </w:tblPr>
      <w:tblGrid>
        <w:gridCol w:w="1660"/>
        <w:gridCol w:w="1660"/>
        <w:gridCol w:w="1660"/>
      </w:tblGrid>
      <w:tr w:rsidR="00C36168" w:rsidRPr="00C40EBC" w14:paraId="00DA2CAC" w14:textId="77777777" w:rsidTr="00F65AAC">
        <w:trPr>
          <w:trHeight w:val="315"/>
        </w:trPr>
        <w:tc>
          <w:tcPr>
            <w:tcW w:w="1660" w:type="dxa"/>
            <w:tcBorders>
              <w:top w:val="single" w:sz="8" w:space="0" w:color="auto"/>
              <w:left w:val="single" w:sz="8" w:space="0" w:color="auto"/>
              <w:bottom w:val="single" w:sz="8" w:space="0" w:color="auto"/>
              <w:right w:val="single" w:sz="8" w:space="0" w:color="auto"/>
            </w:tcBorders>
            <w:noWrap/>
            <w:vAlign w:val="center"/>
            <w:hideMark/>
          </w:tcPr>
          <w:p w14:paraId="2B1FB95B" w14:textId="77777777" w:rsidR="00C36168" w:rsidRPr="00C40EBC" w:rsidRDefault="00C36168" w:rsidP="00F65AAC">
            <w:pPr>
              <w:spacing w:after="0" w:line="240" w:lineRule="auto"/>
              <w:jc w:val="center"/>
              <w:rPr>
                <w:rFonts w:ascii="Aptos Narrow" w:eastAsia="Times New Roman" w:hAnsi="Aptos Narrow" w:cs="Times New Roman"/>
                <w:color w:val="000000"/>
                <w:kern w:val="0"/>
                <w:lang w:eastAsia="es-ES"/>
                <w14:ligatures w14:val="none"/>
              </w:rPr>
            </w:pPr>
            <w:r w:rsidRPr="00C40EBC">
              <w:rPr>
                <w:rFonts w:ascii="Aptos Narrow" w:eastAsia="Times New Roman" w:hAnsi="Aptos Narrow" w:cs="Times New Roman"/>
                <w:color w:val="000000"/>
                <w:kern w:val="0"/>
                <w:lang w:eastAsia="es-ES"/>
                <w14:ligatures w14:val="none"/>
              </w:rPr>
              <w:t>Mes</w:t>
            </w:r>
          </w:p>
        </w:tc>
        <w:tc>
          <w:tcPr>
            <w:tcW w:w="1660" w:type="dxa"/>
            <w:tcBorders>
              <w:top w:val="single" w:sz="8" w:space="0" w:color="auto"/>
              <w:left w:val="nil"/>
              <w:bottom w:val="single" w:sz="8" w:space="0" w:color="auto"/>
              <w:right w:val="single" w:sz="8" w:space="0" w:color="auto"/>
            </w:tcBorders>
            <w:vAlign w:val="center"/>
            <w:hideMark/>
          </w:tcPr>
          <w:p w14:paraId="7B169FFD" w14:textId="77777777" w:rsidR="00C36168" w:rsidRPr="00C40EBC" w:rsidRDefault="00C36168" w:rsidP="00F65AAC">
            <w:pPr>
              <w:spacing w:after="0" w:line="240" w:lineRule="auto"/>
              <w:jc w:val="center"/>
              <w:rPr>
                <w:rFonts w:ascii="Aptos Narrow" w:eastAsia="Times New Roman" w:hAnsi="Aptos Narrow" w:cs="Times New Roman"/>
                <w:color w:val="000000"/>
                <w:kern w:val="0"/>
                <w:lang w:eastAsia="es-ES"/>
                <w14:ligatures w14:val="none"/>
              </w:rPr>
            </w:pPr>
            <w:r w:rsidRPr="00C40EBC">
              <w:rPr>
                <w:rFonts w:ascii="Aptos Narrow" w:eastAsia="Times New Roman" w:hAnsi="Aptos Narrow" w:cs="Times New Roman"/>
                <w:color w:val="000000"/>
                <w:kern w:val="0"/>
                <w:lang w:eastAsia="es-ES"/>
                <w14:ligatures w14:val="none"/>
              </w:rPr>
              <w:t>LCR (%)</w:t>
            </w:r>
          </w:p>
        </w:tc>
        <w:tc>
          <w:tcPr>
            <w:tcW w:w="1660" w:type="dxa"/>
            <w:tcBorders>
              <w:top w:val="single" w:sz="8" w:space="0" w:color="auto"/>
              <w:left w:val="nil"/>
              <w:bottom w:val="single" w:sz="8" w:space="0" w:color="auto"/>
              <w:right w:val="single" w:sz="8" w:space="0" w:color="auto"/>
            </w:tcBorders>
            <w:vAlign w:val="center"/>
            <w:hideMark/>
          </w:tcPr>
          <w:p w14:paraId="2E049523" w14:textId="77777777" w:rsidR="00C36168" w:rsidRPr="00C40EBC" w:rsidRDefault="00C36168" w:rsidP="00F65AAC">
            <w:pPr>
              <w:spacing w:after="0" w:line="240" w:lineRule="auto"/>
              <w:jc w:val="center"/>
              <w:rPr>
                <w:rFonts w:ascii="Aptos Narrow" w:eastAsia="Times New Roman" w:hAnsi="Aptos Narrow" w:cs="Times New Roman"/>
                <w:color w:val="000000"/>
                <w:kern w:val="0"/>
                <w:lang w:eastAsia="es-ES"/>
                <w14:ligatures w14:val="none"/>
              </w:rPr>
            </w:pPr>
            <w:r w:rsidRPr="00C40EBC">
              <w:rPr>
                <w:rFonts w:ascii="Aptos Narrow" w:eastAsia="Times New Roman" w:hAnsi="Aptos Narrow" w:cs="Times New Roman"/>
                <w:color w:val="000000"/>
                <w:kern w:val="0"/>
                <w:lang w:eastAsia="es-ES"/>
                <w14:ligatures w14:val="none"/>
              </w:rPr>
              <w:t>NSFR (%)</w:t>
            </w:r>
          </w:p>
        </w:tc>
      </w:tr>
      <w:tr w:rsidR="00C36168" w:rsidRPr="00C40EBC" w14:paraId="760C865F" w14:textId="77777777" w:rsidTr="00F65AAC">
        <w:trPr>
          <w:trHeight w:val="300"/>
        </w:trPr>
        <w:tc>
          <w:tcPr>
            <w:tcW w:w="1660" w:type="dxa"/>
            <w:tcBorders>
              <w:top w:val="nil"/>
              <w:left w:val="nil"/>
              <w:bottom w:val="nil"/>
              <w:right w:val="nil"/>
            </w:tcBorders>
            <w:noWrap/>
            <w:vAlign w:val="center"/>
            <w:hideMark/>
          </w:tcPr>
          <w:p w14:paraId="4CF06480" w14:textId="77777777" w:rsidR="00C36168" w:rsidRPr="00C40EBC" w:rsidRDefault="00C36168" w:rsidP="00F65AAC">
            <w:pPr>
              <w:spacing w:after="0" w:line="240" w:lineRule="auto"/>
              <w:jc w:val="center"/>
              <w:rPr>
                <w:rFonts w:ascii="Aptos Narrow" w:eastAsia="Times New Roman" w:hAnsi="Aptos Narrow" w:cs="Times New Roman"/>
                <w:color w:val="000000"/>
                <w:kern w:val="0"/>
                <w:lang w:eastAsia="es-ES"/>
                <w14:ligatures w14:val="none"/>
              </w:rPr>
            </w:pPr>
            <w:r w:rsidRPr="00C40EBC">
              <w:rPr>
                <w:rFonts w:ascii="Aptos Narrow" w:eastAsia="Times New Roman" w:hAnsi="Aptos Narrow" w:cs="Times New Roman"/>
                <w:color w:val="000000"/>
                <w:kern w:val="0"/>
                <w:lang w:eastAsia="es-ES"/>
                <w14:ligatures w14:val="none"/>
              </w:rPr>
              <w:t>Marzo</w:t>
            </w:r>
          </w:p>
        </w:tc>
        <w:tc>
          <w:tcPr>
            <w:tcW w:w="1660" w:type="dxa"/>
            <w:tcBorders>
              <w:top w:val="nil"/>
              <w:left w:val="nil"/>
              <w:bottom w:val="nil"/>
              <w:right w:val="nil"/>
            </w:tcBorders>
            <w:vAlign w:val="center"/>
            <w:hideMark/>
          </w:tcPr>
          <w:p w14:paraId="3D4C6E2C" w14:textId="77777777" w:rsidR="00C36168" w:rsidRPr="00C40EBC" w:rsidRDefault="00C36168" w:rsidP="00F65AAC">
            <w:pPr>
              <w:spacing w:after="0" w:line="240" w:lineRule="auto"/>
              <w:jc w:val="center"/>
              <w:rPr>
                <w:rFonts w:ascii="Aptos Narrow" w:eastAsia="Times New Roman" w:hAnsi="Aptos Narrow" w:cs="Times New Roman"/>
                <w:color w:val="000000"/>
                <w:kern w:val="0"/>
                <w:lang w:eastAsia="es-ES"/>
                <w14:ligatures w14:val="none"/>
              </w:rPr>
            </w:pPr>
            <w:r>
              <w:rPr>
                <w:rFonts w:ascii="Aptos Narrow" w:eastAsia="Times New Roman" w:hAnsi="Aptos Narrow" w:cs="Times New Roman"/>
                <w:color w:val="000000"/>
                <w:kern w:val="0"/>
                <w:lang w:eastAsia="es-ES"/>
                <w14:ligatures w14:val="none"/>
              </w:rPr>
              <w:t>585,71</w:t>
            </w:r>
          </w:p>
        </w:tc>
        <w:tc>
          <w:tcPr>
            <w:tcW w:w="1660" w:type="dxa"/>
            <w:tcBorders>
              <w:top w:val="nil"/>
              <w:left w:val="nil"/>
              <w:bottom w:val="nil"/>
              <w:right w:val="nil"/>
            </w:tcBorders>
            <w:vAlign w:val="center"/>
            <w:hideMark/>
          </w:tcPr>
          <w:p w14:paraId="382B73F6" w14:textId="77777777" w:rsidR="00C36168" w:rsidRPr="00C40EBC" w:rsidRDefault="00C36168" w:rsidP="00F65AAC">
            <w:pPr>
              <w:spacing w:after="0" w:line="240" w:lineRule="auto"/>
              <w:jc w:val="center"/>
              <w:rPr>
                <w:rFonts w:ascii="Aptos Narrow" w:eastAsia="Times New Roman" w:hAnsi="Aptos Narrow" w:cs="Times New Roman"/>
                <w:color w:val="000000"/>
                <w:kern w:val="0"/>
                <w:lang w:eastAsia="es-ES"/>
                <w14:ligatures w14:val="none"/>
              </w:rPr>
            </w:pPr>
            <w:r>
              <w:rPr>
                <w:rFonts w:ascii="Aptos Narrow" w:eastAsia="Times New Roman" w:hAnsi="Aptos Narrow" w:cs="Times New Roman"/>
                <w:color w:val="000000"/>
                <w:kern w:val="0"/>
                <w:lang w:eastAsia="es-ES"/>
                <w14:ligatures w14:val="none"/>
              </w:rPr>
              <w:t>120,57</w:t>
            </w:r>
          </w:p>
        </w:tc>
      </w:tr>
      <w:tr w:rsidR="00C36168" w:rsidRPr="00C40EBC" w14:paraId="2130C815" w14:textId="77777777" w:rsidTr="00F65AAC">
        <w:trPr>
          <w:trHeight w:val="300"/>
        </w:trPr>
        <w:tc>
          <w:tcPr>
            <w:tcW w:w="1660" w:type="dxa"/>
            <w:tcBorders>
              <w:top w:val="nil"/>
              <w:left w:val="nil"/>
              <w:bottom w:val="nil"/>
              <w:right w:val="nil"/>
            </w:tcBorders>
            <w:noWrap/>
            <w:vAlign w:val="bottom"/>
            <w:hideMark/>
          </w:tcPr>
          <w:p w14:paraId="598BDAD4" w14:textId="77777777" w:rsidR="00C36168" w:rsidRPr="00C40EBC" w:rsidRDefault="00C36168" w:rsidP="00F65AAC">
            <w:pPr>
              <w:spacing w:after="0" w:line="240" w:lineRule="auto"/>
              <w:jc w:val="center"/>
              <w:rPr>
                <w:rFonts w:ascii="Aptos Narrow" w:eastAsia="Times New Roman" w:hAnsi="Aptos Narrow" w:cs="Times New Roman"/>
                <w:color w:val="000000"/>
                <w:kern w:val="0"/>
                <w:lang w:eastAsia="es-ES"/>
                <w14:ligatures w14:val="none"/>
              </w:rPr>
            </w:pPr>
            <w:r w:rsidRPr="00C40EBC">
              <w:rPr>
                <w:rFonts w:ascii="Aptos Narrow" w:eastAsia="Times New Roman" w:hAnsi="Aptos Narrow" w:cs="Times New Roman"/>
                <w:color w:val="000000"/>
                <w:kern w:val="0"/>
                <w:lang w:eastAsia="es-ES"/>
                <w14:ligatures w14:val="none"/>
              </w:rPr>
              <w:t>Junio</w:t>
            </w:r>
          </w:p>
        </w:tc>
        <w:tc>
          <w:tcPr>
            <w:tcW w:w="1660" w:type="dxa"/>
            <w:tcBorders>
              <w:top w:val="nil"/>
              <w:left w:val="nil"/>
              <w:bottom w:val="nil"/>
              <w:right w:val="nil"/>
            </w:tcBorders>
            <w:noWrap/>
            <w:vAlign w:val="bottom"/>
            <w:hideMark/>
          </w:tcPr>
          <w:p w14:paraId="6556DBA4" w14:textId="77777777" w:rsidR="00C36168" w:rsidRPr="00C40EBC" w:rsidRDefault="00C36168" w:rsidP="00F65AAC">
            <w:pPr>
              <w:spacing w:after="0" w:line="240" w:lineRule="auto"/>
              <w:jc w:val="center"/>
              <w:rPr>
                <w:rFonts w:ascii="Aptos Narrow" w:eastAsia="Times New Roman" w:hAnsi="Aptos Narrow" w:cs="Times New Roman"/>
                <w:color w:val="000000"/>
                <w:kern w:val="0"/>
                <w:lang w:eastAsia="es-ES"/>
                <w14:ligatures w14:val="none"/>
              </w:rPr>
            </w:pPr>
            <w:r>
              <w:rPr>
                <w:rFonts w:ascii="Aptos Narrow" w:eastAsia="Times New Roman" w:hAnsi="Aptos Narrow" w:cs="Times New Roman"/>
                <w:color w:val="000000"/>
                <w:kern w:val="0"/>
                <w:lang w:eastAsia="es-ES"/>
                <w14:ligatures w14:val="none"/>
              </w:rPr>
              <w:t>277,18</w:t>
            </w:r>
          </w:p>
        </w:tc>
        <w:tc>
          <w:tcPr>
            <w:tcW w:w="1660" w:type="dxa"/>
            <w:tcBorders>
              <w:top w:val="nil"/>
              <w:left w:val="nil"/>
              <w:bottom w:val="nil"/>
              <w:right w:val="nil"/>
            </w:tcBorders>
            <w:noWrap/>
            <w:vAlign w:val="bottom"/>
            <w:hideMark/>
          </w:tcPr>
          <w:p w14:paraId="5035209B" w14:textId="77777777" w:rsidR="00C36168" w:rsidRPr="00C40EBC" w:rsidRDefault="00C36168" w:rsidP="00F65AAC">
            <w:pPr>
              <w:spacing w:after="0" w:line="240" w:lineRule="auto"/>
              <w:jc w:val="center"/>
              <w:rPr>
                <w:rFonts w:ascii="Aptos Narrow" w:eastAsia="Times New Roman" w:hAnsi="Aptos Narrow" w:cs="Times New Roman"/>
                <w:color w:val="000000"/>
                <w:kern w:val="0"/>
                <w:lang w:eastAsia="es-ES"/>
                <w14:ligatures w14:val="none"/>
              </w:rPr>
            </w:pPr>
            <w:r>
              <w:rPr>
                <w:rFonts w:ascii="Aptos Narrow" w:eastAsia="Times New Roman" w:hAnsi="Aptos Narrow" w:cs="Times New Roman"/>
                <w:color w:val="000000"/>
                <w:kern w:val="0"/>
                <w:lang w:eastAsia="es-ES"/>
                <w14:ligatures w14:val="none"/>
              </w:rPr>
              <w:t>116,18</w:t>
            </w:r>
          </w:p>
        </w:tc>
      </w:tr>
      <w:tr w:rsidR="00C36168" w:rsidRPr="00C40EBC" w14:paraId="5C7273DF" w14:textId="77777777" w:rsidTr="00F65AAC">
        <w:trPr>
          <w:trHeight w:val="300"/>
        </w:trPr>
        <w:tc>
          <w:tcPr>
            <w:tcW w:w="1660" w:type="dxa"/>
            <w:tcBorders>
              <w:top w:val="nil"/>
              <w:left w:val="nil"/>
              <w:bottom w:val="nil"/>
              <w:right w:val="nil"/>
            </w:tcBorders>
            <w:noWrap/>
            <w:vAlign w:val="bottom"/>
            <w:hideMark/>
          </w:tcPr>
          <w:p w14:paraId="67788513" w14:textId="77777777" w:rsidR="00C36168" w:rsidRPr="00C40EBC" w:rsidRDefault="00C36168" w:rsidP="00F65AAC">
            <w:pPr>
              <w:spacing w:after="0" w:line="240" w:lineRule="auto"/>
              <w:jc w:val="center"/>
              <w:rPr>
                <w:rFonts w:ascii="Aptos Narrow" w:eastAsia="Times New Roman" w:hAnsi="Aptos Narrow" w:cs="Times New Roman"/>
                <w:color w:val="000000"/>
                <w:kern w:val="0"/>
                <w:lang w:eastAsia="es-ES"/>
                <w14:ligatures w14:val="none"/>
              </w:rPr>
            </w:pPr>
            <w:r w:rsidRPr="00C40EBC">
              <w:rPr>
                <w:rFonts w:ascii="Aptos Narrow" w:eastAsia="Times New Roman" w:hAnsi="Aptos Narrow" w:cs="Times New Roman"/>
                <w:color w:val="000000"/>
                <w:kern w:val="0"/>
                <w:lang w:eastAsia="es-ES"/>
                <w14:ligatures w14:val="none"/>
              </w:rPr>
              <w:t>Septiembre</w:t>
            </w:r>
          </w:p>
        </w:tc>
        <w:tc>
          <w:tcPr>
            <w:tcW w:w="1660" w:type="dxa"/>
            <w:tcBorders>
              <w:top w:val="nil"/>
              <w:left w:val="nil"/>
              <w:bottom w:val="nil"/>
              <w:right w:val="nil"/>
            </w:tcBorders>
            <w:noWrap/>
            <w:vAlign w:val="bottom"/>
            <w:hideMark/>
          </w:tcPr>
          <w:p w14:paraId="159613A1" w14:textId="77777777" w:rsidR="00C36168" w:rsidRPr="00C40EBC" w:rsidRDefault="00C36168" w:rsidP="00F65AAC">
            <w:pPr>
              <w:spacing w:after="0" w:line="240" w:lineRule="auto"/>
              <w:jc w:val="center"/>
              <w:rPr>
                <w:rFonts w:ascii="Aptos Narrow" w:eastAsia="Times New Roman" w:hAnsi="Aptos Narrow" w:cs="Times New Roman"/>
                <w:color w:val="000000"/>
                <w:kern w:val="0"/>
                <w:lang w:eastAsia="es-ES"/>
                <w14:ligatures w14:val="none"/>
              </w:rPr>
            </w:pPr>
            <w:r>
              <w:rPr>
                <w:rFonts w:ascii="Aptos Narrow" w:eastAsia="Times New Roman" w:hAnsi="Aptos Narrow" w:cs="Times New Roman"/>
                <w:color w:val="000000"/>
                <w:kern w:val="0"/>
                <w:lang w:eastAsia="es-ES"/>
                <w14:ligatures w14:val="none"/>
              </w:rPr>
              <w:t>280,22</w:t>
            </w:r>
          </w:p>
        </w:tc>
        <w:tc>
          <w:tcPr>
            <w:tcW w:w="1660" w:type="dxa"/>
            <w:tcBorders>
              <w:top w:val="nil"/>
              <w:left w:val="nil"/>
              <w:bottom w:val="nil"/>
              <w:right w:val="nil"/>
            </w:tcBorders>
            <w:noWrap/>
            <w:vAlign w:val="bottom"/>
            <w:hideMark/>
          </w:tcPr>
          <w:p w14:paraId="397BC647" w14:textId="77777777" w:rsidR="00C36168" w:rsidRPr="00C40EBC" w:rsidRDefault="00C36168" w:rsidP="00F65AAC">
            <w:pPr>
              <w:spacing w:after="0" w:line="240" w:lineRule="auto"/>
              <w:jc w:val="center"/>
              <w:rPr>
                <w:rFonts w:ascii="Aptos Narrow" w:eastAsia="Times New Roman" w:hAnsi="Aptos Narrow" w:cs="Times New Roman"/>
                <w:color w:val="000000"/>
                <w:kern w:val="0"/>
                <w:lang w:eastAsia="es-ES"/>
                <w14:ligatures w14:val="none"/>
              </w:rPr>
            </w:pPr>
            <w:r>
              <w:rPr>
                <w:rFonts w:ascii="Aptos Narrow" w:eastAsia="Times New Roman" w:hAnsi="Aptos Narrow" w:cs="Times New Roman"/>
                <w:color w:val="000000"/>
                <w:kern w:val="0"/>
                <w:lang w:eastAsia="es-ES"/>
                <w14:ligatures w14:val="none"/>
              </w:rPr>
              <w:t>110,50</w:t>
            </w:r>
          </w:p>
        </w:tc>
      </w:tr>
      <w:tr w:rsidR="00C36168" w:rsidRPr="00C40EBC" w14:paraId="7168E68B" w14:textId="77777777" w:rsidTr="00F65AAC">
        <w:trPr>
          <w:trHeight w:val="300"/>
        </w:trPr>
        <w:tc>
          <w:tcPr>
            <w:tcW w:w="1660" w:type="dxa"/>
            <w:tcBorders>
              <w:top w:val="nil"/>
              <w:left w:val="nil"/>
              <w:bottom w:val="nil"/>
              <w:right w:val="nil"/>
            </w:tcBorders>
            <w:noWrap/>
            <w:vAlign w:val="bottom"/>
            <w:hideMark/>
          </w:tcPr>
          <w:p w14:paraId="2DD4294D" w14:textId="77777777" w:rsidR="00C36168" w:rsidRPr="00C40EBC" w:rsidRDefault="00C36168" w:rsidP="00F65AAC">
            <w:pPr>
              <w:spacing w:after="0" w:line="240" w:lineRule="auto"/>
              <w:jc w:val="center"/>
              <w:rPr>
                <w:rFonts w:ascii="Aptos Narrow" w:eastAsia="Times New Roman" w:hAnsi="Aptos Narrow" w:cs="Times New Roman"/>
                <w:color w:val="000000"/>
                <w:kern w:val="0"/>
                <w:lang w:eastAsia="es-ES"/>
                <w14:ligatures w14:val="none"/>
              </w:rPr>
            </w:pPr>
            <w:r w:rsidRPr="00C40EBC">
              <w:rPr>
                <w:rFonts w:ascii="Aptos Narrow" w:eastAsia="Times New Roman" w:hAnsi="Aptos Narrow" w:cs="Times New Roman"/>
                <w:color w:val="000000"/>
                <w:kern w:val="0"/>
                <w:lang w:eastAsia="es-ES"/>
                <w14:ligatures w14:val="none"/>
              </w:rPr>
              <w:lastRenderedPageBreak/>
              <w:t>Diciembre</w:t>
            </w:r>
          </w:p>
        </w:tc>
        <w:tc>
          <w:tcPr>
            <w:tcW w:w="1660" w:type="dxa"/>
            <w:tcBorders>
              <w:top w:val="nil"/>
              <w:left w:val="nil"/>
              <w:bottom w:val="nil"/>
              <w:right w:val="nil"/>
            </w:tcBorders>
            <w:noWrap/>
            <w:vAlign w:val="bottom"/>
            <w:hideMark/>
          </w:tcPr>
          <w:p w14:paraId="3F41290B" w14:textId="77777777" w:rsidR="00C36168" w:rsidRPr="00C40EBC" w:rsidRDefault="00C36168" w:rsidP="00F65AAC">
            <w:pPr>
              <w:spacing w:after="0" w:line="240" w:lineRule="auto"/>
              <w:jc w:val="center"/>
              <w:rPr>
                <w:rFonts w:ascii="Aptos Narrow" w:eastAsia="Times New Roman" w:hAnsi="Aptos Narrow" w:cs="Times New Roman"/>
                <w:color w:val="000000"/>
                <w:kern w:val="0"/>
                <w:lang w:eastAsia="es-ES"/>
                <w14:ligatures w14:val="none"/>
              </w:rPr>
            </w:pPr>
            <w:r>
              <w:rPr>
                <w:rFonts w:ascii="Aptos Narrow" w:eastAsia="Times New Roman" w:hAnsi="Aptos Narrow" w:cs="Times New Roman"/>
                <w:color w:val="000000"/>
                <w:kern w:val="0"/>
                <w:lang w:eastAsia="es-ES"/>
                <w14:ligatures w14:val="none"/>
              </w:rPr>
              <w:t>2.990,61</w:t>
            </w:r>
          </w:p>
        </w:tc>
        <w:tc>
          <w:tcPr>
            <w:tcW w:w="1660" w:type="dxa"/>
            <w:tcBorders>
              <w:top w:val="nil"/>
              <w:left w:val="nil"/>
              <w:bottom w:val="nil"/>
              <w:right w:val="nil"/>
            </w:tcBorders>
            <w:noWrap/>
            <w:vAlign w:val="bottom"/>
            <w:hideMark/>
          </w:tcPr>
          <w:p w14:paraId="41D05C12" w14:textId="77777777" w:rsidR="00C36168" w:rsidRPr="00C40EBC" w:rsidRDefault="00C36168" w:rsidP="00F65AAC">
            <w:pPr>
              <w:spacing w:after="0" w:line="240" w:lineRule="auto"/>
              <w:jc w:val="center"/>
              <w:rPr>
                <w:rFonts w:ascii="Aptos Narrow" w:eastAsia="Times New Roman" w:hAnsi="Aptos Narrow" w:cs="Times New Roman"/>
                <w:color w:val="000000"/>
                <w:kern w:val="0"/>
                <w:lang w:eastAsia="es-ES"/>
                <w14:ligatures w14:val="none"/>
              </w:rPr>
            </w:pPr>
            <w:r>
              <w:rPr>
                <w:rFonts w:ascii="Aptos Narrow" w:eastAsia="Times New Roman" w:hAnsi="Aptos Narrow" w:cs="Times New Roman"/>
                <w:color w:val="000000"/>
                <w:kern w:val="0"/>
                <w:lang w:eastAsia="es-ES"/>
                <w14:ligatures w14:val="none"/>
              </w:rPr>
              <w:t>208,33</w:t>
            </w:r>
          </w:p>
        </w:tc>
      </w:tr>
    </w:tbl>
    <w:p w14:paraId="606151B0" w14:textId="77777777" w:rsidR="00C36168" w:rsidRPr="00FF7433" w:rsidRDefault="00C36168" w:rsidP="00C36168">
      <w:pPr>
        <w:autoSpaceDE w:val="0"/>
        <w:autoSpaceDN w:val="0"/>
        <w:adjustRightInd w:val="0"/>
        <w:spacing w:after="0" w:line="240" w:lineRule="auto"/>
        <w:jc w:val="both"/>
        <w:rPr>
          <w:rFonts w:ascii="Tahoma" w:hAnsi="Tahoma" w:cs="Tahoma"/>
          <w:color w:val="000000"/>
          <w:kern w:val="0"/>
        </w:rPr>
      </w:pPr>
    </w:p>
    <w:p w14:paraId="36BDF3E4" w14:textId="77777777" w:rsidR="00C40EBC" w:rsidRPr="00FF7433" w:rsidRDefault="00C40EBC" w:rsidP="00C36168">
      <w:pPr>
        <w:pStyle w:val="Default"/>
        <w:pageBreakBefore/>
        <w:spacing w:after="120"/>
        <w:jc w:val="both"/>
      </w:pPr>
    </w:p>
    <w:sectPr w:rsidR="00C40EBC" w:rsidRPr="00FF743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39137" w14:textId="77777777" w:rsidR="00B55D67" w:rsidRDefault="00B55D67" w:rsidP="00B55D67">
      <w:pPr>
        <w:spacing w:after="0" w:line="240" w:lineRule="auto"/>
      </w:pPr>
      <w:r>
        <w:separator/>
      </w:r>
    </w:p>
  </w:endnote>
  <w:endnote w:type="continuationSeparator" w:id="0">
    <w:p w14:paraId="6496B8B7" w14:textId="77777777" w:rsidR="00B55D67" w:rsidRDefault="00B55D67" w:rsidP="00B55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8182232"/>
      <w:docPartObj>
        <w:docPartGallery w:val="Page Numbers (Bottom of Page)"/>
        <w:docPartUnique/>
      </w:docPartObj>
    </w:sdtPr>
    <w:sdtEndPr/>
    <w:sdtContent>
      <w:p w14:paraId="26CF34BC" w14:textId="11C5A789" w:rsidR="00B55D67" w:rsidRDefault="00B55D67">
        <w:pPr>
          <w:pStyle w:val="Piedepgina"/>
          <w:jc w:val="right"/>
        </w:pPr>
        <w:r>
          <w:fldChar w:fldCharType="begin"/>
        </w:r>
        <w:r>
          <w:instrText>PAGE   \* MERGEFORMAT</w:instrText>
        </w:r>
        <w:r>
          <w:fldChar w:fldCharType="separate"/>
        </w:r>
        <w:r>
          <w:t>2</w:t>
        </w:r>
        <w:r>
          <w:fldChar w:fldCharType="end"/>
        </w:r>
      </w:p>
    </w:sdtContent>
  </w:sdt>
  <w:p w14:paraId="12DAF575" w14:textId="2D3008D2" w:rsidR="00B55D67" w:rsidRDefault="00B55D67">
    <w:pPr>
      <w:pStyle w:val="Piedepgina"/>
    </w:pPr>
  </w:p>
  <w:p w14:paraId="212409C2" w14:textId="77777777" w:rsidR="007E0A76" w:rsidRDefault="007E0A76"/>
  <w:p w14:paraId="41BA50A5" w14:textId="77777777" w:rsidR="007E0A76" w:rsidRDefault="007E0A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68AFD" w14:textId="77777777" w:rsidR="00B55D67" w:rsidRDefault="00B55D67" w:rsidP="00B55D67">
      <w:pPr>
        <w:spacing w:after="0" w:line="240" w:lineRule="auto"/>
      </w:pPr>
      <w:r>
        <w:separator/>
      </w:r>
    </w:p>
  </w:footnote>
  <w:footnote w:type="continuationSeparator" w:id="0">
    <w:p w14:paraId="51D5D27C" w14:textId="77777777" w:rsidR="00B55D67" w:rsidRDefault="00B55D67" w:rsidP="00B55D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19C02" w14:textId="3A29FA97" w:rsidR="00B55D67" w:rsidRDefault="00C36168">
    <w:pPr>
      <w:pStyle w:val="Encabezado"/>
    </w:pPr>
    <w:r w:rsidRPr="00B55D67">
      <w:rPr>
        <w:rFonts w:ascii="Tahoma" w:hAnsi="Tahoma" w:cs="Tahoma"/>
        <w:b/>
        <w:bCs/>
        <w:color w:val="626A1A" w:themeColor="accent3" w:themeShade="80"/>
      </w:rPr>
      <w:t>INFORMACIÓN CON RELEVANCIA PRUDENCIAL DIC/202</w:t>
    </w:r>
    <w:r>
      <w:rPr>
        <w:rFonts w:ascii="Tahoma" w:hAnsi="Tahoma" w:cs="Tahoma"/>
        <w:b/>
        <w:bCs/>
        <w:color w:val="626A1A" w:themeColor="accent3" w:themeShade="80"/>
      </w:rPr>
      <w:t>5</w:t>
    </w:r>
    <w:r w:rsidRPr="00B55D67">
      <w:rPr>
        <w:rFonts w:ascii="Tahoma" w:hAnsi="Tahoma" w:cs="Tahoma"/>
        <w:b/>
        <w:bCs/>
        <w:color w:val="626A1A" w:themeColor="accent3" w:themeShade="80"/>
      </w:rPr>
      <w:t xml:space="preserve"> – BANGE CREDIT</w:t>
    </w:r>
    <w:r w:rsidRPr="00B55D67">
      <w:rPr>
        <w:rFonts w:ascii="Tahoma" w:hAnsi="Tahoma" w:cs="Tahoma"/>
        <w:color w:val="626A1A" w:themeColor="accent3" w:themeShade="80"/>
      </w:rPr>
      <w:t xml:space="preserve"> </w:t>
    </w:r>
    <w:r w:rsidR="00B55D67" w:rsidRPr="00B55D67">
      <w:rPr>
        <w:rFonts w:ascii="Tahoma" w:hAnsi="Tahoma" w:cs="Tahoma"/>
        <w:color w:val="FFFFFF"/>
      </w:rPr>
      <w:t>de diciembre</w:t>
    </w:r>
  </w:p>
  <w:p w14:paraId="5F7839BF" w14:textId="77777777" w:rsidR="007E0A76" w:rsidRDefault="007E0A76"/>
  <w:p w14:paraId="19E60712" w14:textId="77777777" w:rsidR="007E0A76" w:rsidRDefault="007E0A7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1E4D7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C54936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C8C80D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7F17B1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405E08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9CE980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9872C88"/>
    <w:multiLevelType w:val="multilevel"/>
    <w:tmpl w:val="4C6AE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625003"/>
    <w:multiLevelType w:val="hybridMultilevel"/>
    <w:tmpl w:val="7A56C808"/>
    <w:lvl w:ilvl="0" w:tplc="3738DE16">
      <w:start w:val="6"/>
      <w:numFmt w:val="bullet"/>
      <w:lvlText w:val="-"/>
      <w:lvlJc w:val="left"/>
      <w:pPr>
        <w:ind w:left="720" w:hanging="360"/>
      </w:pPr>
      <w:rPr>
        <w:rFonts w:ascii="Tahoma" w:eastAsiaTheme="minorHAnsi"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C9E7E5B"/>
    <w:multiLevelType w:val="hybridMultilevel"/>
    <w:tmpl w:val="47C6E716"/>
    <w:lvl w:ilvl="0" w:tplc="E8CA3890">
      <w:numFmt w:val="bullet"/>
      <w:lvlText w:val="-"/>
      <w:lvlJc w:val="left"/>
      <w:pPr>
        <w:ind w:left="720" w:hanging="360"/>
      </w:pPr>
      <w:rPr>
        <w:rFonts w:ascii="Tahoma" w:eastAsiaTheme="minorHAnsi"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8CE2C5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B5403D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091928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73AD52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28709FA"/>
    <w:multiLevelType w:val="hybridMultilevel"/>
    <w:tmpl w:val="DAF8DAA8"/>
    <w:lvl w:ilvl="0" w:tplc="5ED0BB30">
      <w:numFmt w:val="bullet"/>
      <w:lvlText w:val="-"/>
      <w:lvlJc w:val="left"/>
      <w:pPr>
        <w:ind w:left="720" w:hanging="360"/>
      </w:pPr>
      <w:rPr>
        <w:rFonts w:ascii="Tahoma" w:eastAsiaTheme="minorHAnsi"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BE438C5"/>
    <w:multiLevelType w:val="hybridMultilevel"/>
    <w:tmpl w:val="2E7A6584"/>
    <w:lvl w:ilvl="0" w:tplc="F8DC9EBC">
      <w:start w:val="4"/>
      <w:numFmt w:val="bullet"/>
      <w:lvlText w:val=""/>
      <w:lvlJc w:val="left"/>
      <w:pPr>
        <w:ind w:left="720" w:hanging="360"/>
      </w:pPr>
      <w:rPr>
        <w:rFonts w:ascii="Symbol" w:eastAsiaTheme="minorHAnsi" w:hAnsi="Symbol"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1061D4A"/>
    <w:multiLevelType w:val="hybridMultilevel"/>
    <w:tmpl w:val="26FC105C"/>
    <w:lvl w:ilvl="0" w:tplc="0C0A000F">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2561AB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28A41B7"/>
    <w:multiLevelType w:val="hybridMultilevel"/>
    <w:tmpl w:val="2F845638"/>
    <w:lvl w:ilvl="0" w:tplc="A3D837FC">
      <w:start w:val="4"/>
      <w:numFmt w:val="bullet"/>
      <w:lvlText w:val="-"/>
      <w:lvlJc w:val="left"/>
      <w:pPr>
        <w:ind w:left="720" w:hanging="360"/>
      </w:pPr>
      <w:rPr>
        <w:rFonts w:ascii="Tahoma" w:eastAsiaTheme="minorHAnsi"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55229A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6C0847F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73E6188F"/>
    <w:multiLevelType w:val="hybridMultilevel"/>
    <w:tmpl w:val="55E48352"/>
    <w:lvl w:ilvl="0" w:tplc="970896E4">
      <w:numFmt w:val="bullet"/>
      <w:lvlText w:val="-"/>
      <w:lvlJc w:val="left"/>
      <w:pPr>
        <w:ind w:left="720" w:hanging="360"/>
      </w:pPr>
      <w:rPr>
        <w:rFonts w:ascii="Tahoma" w:eastAsiaTheme="minorHAnsi"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33070593">
    <w:abstractNumId w:val="16"/>
  </w:num>
  <w:num w:numId="2" w16cid:durableId="179702100">
    <w:abstractNumId w:val="10"/>
  </w:num>
  <w:num w:numId="3" w16cid:durableId="34043839">
    <w:abstractNumId w:val="19"/>
  </w:num>
  <w:num w:numId="4" w16cid:durableId="495848151">
    <w:abstractNumId w:val="3"/>
  </w:num>
  <w:num w:numId="5" w16cid:durableId="189344720">
    <w:abstractNumId w:val="4"/>
  </w:num>
  <w:num w:numId="6" w16cid:durableId="2012834864">
    <w:abstractNumId w:val="18"/>
  </w:num>
  <w:num w:numId="7" w16cid:durableId="898444907">
    <w:abstractNumId w:val="9"/>
  </w:num>
  <w:num w:numId="8" w16cid:durableId="2036345489">
    <w:abstractNumId w:val="11"/>
  </w:num>
  <w:num w:numId="9" w16cid:durableId="1054616862">
    <w:abstractNumId w:val="2"/>
  </w:num>
  <w:num w:numId="10" w16cid:durableId="382992689">
    <w:abstractNumId w:val="5"/>
  </w:num>
  <w:num w:numId="11" w16cid:durableId="1832259442">
    <w:abstractNumId w:val="1"/>
  </w:num>
  <w:num w:numId="12" w16cid:durableId="1066491903">
    <w:abstractNumId w:val="0"/>
  </w:num>
  <w:num w:numId="13" w16cid:durableId="100732816">
    <w:abstractNumId w:val="12"/>
  </w:num>
  <w:num w:numId="14" w16cid:durableId="1415250046">
    <w:abstractNumId w:val="15"/>
  </w:num>
  <w:num w:numId="15" w16cid:durableId="1731004273">
    <w:abstractNumId w:val="13"/>
  </w:num>
  <w:num w:numId="16" w16cid:durableId="741410735">
    <w:abstractNumId w:val="8"/>
  </w:num>
  <w:num w:numId="17" w16cid:durableId="1764840601">
    <w:abstractNumId w:val="20"/>
  </w:num>
  <w:num w:numId="18" w16cid:durableId="899553910">
    <w:abstractNumId w:val="17"/>
  </w:num>
  <w:num w:numId="19" w16cid:durableId="1469124931">
    <w:abstractNumId w:val="14"/>
  </w:num>
  <w:num w:numId="20" w16cid:durableId="66651333">
    <w:abstractNumId w:val="7"/>
  </w:num>
  <w:num w:numId="21" w16cid:durableId="17638384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revisionView w:inkAnnotation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0F7"/>
    <w:rsid w:val="00023BEC"/>
    <w:rsid w:val="00047017"/>
    <w:rsid w:val="001B59BE"/>
    <w:rsid w:val="00212DA1"/>
    <w:rsid w:val="00283041"/>
    <w:rsid w:val="002A0BA2"/>
    <w:rsid w:val="002B6064"/>
    <w:rsid w:val="00326A38"/>
    <w:rsid w:val="00443892"/>
    <w:rsid w:val="004D3793"/>
    <w:rsid w:val="004E187C"/>
    <w:rsid w:val="0055485A"/>
    <w:rsid w:val="00573BF9"/>
    <w:rsid w:val="005A517B"/>
    <w:rsid w:val="005C4CB0"/>
    <w:rsid w:val="00603F36"/>
    <w:rsid w:val="00662A7D"/>
    <w:rsid w:val="007615DF"/>
    <w:rsid w:val="0079797B"/>
    <w:rsid w:val="007E0A76"/>
    <w:rsid w:val="008C6834"/>
    <w:rsid w:val="009B7179"/>
    <w:rsid w:val="00A333B7"/>
    <w:rsid w:val="00AB793B"/>
    <w:rsid w:val="00AC7231"/>
    <w:rsid w:val="00B266FB"/>
    <w:rsid w:val="00B310C2"/>
    <w:rsid w:val="00B55D67"/>
    <w:rsid w:val="00B7632F"/>
    <w:rsid w:val="00C36168"/>
    <w:rsid w:val="00C40EBC"/>
    <w:rsid w:val="00D870A6"/>
    <w:rsid w:val="00DA5A7D"/>
    <w:rsid w:val="00DB5FB7"/>
    <w:rsid w:val="00E27F78"/>
    <w:rsid w:val="00E850F7"/>
    <w:rsid w:val="00FF498E"/>
    <w:rsid w:val="00FF743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66D9B2"/>
  <w15:chartTrackingRefBased/>
  <w15:docId w15:val="{DF2F425C-E18A-4284-90FC-2808F0482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850F7"/>
    <w:pPr>
      <w:keepNext/>
      <w:keepLines/>
      <w:spacing w:before="360" w:after="80"/>
      <w:outlineLvl w:val="0"/>
    </w:pPr>
    <w:rPr>
      <w:rFonts w:asciiTheme="majorHAnsi" w:eastAsiaTheme="majorEastAsia" w:hAnsiTheme="majorHAnsi" w:cstheme="majorBidi"/>
      <w:color w:val="3E762A" w:themeColor="accent1" w:themeShade="BF"/>
      <w:sz w:val="40"/>
      <w:szCs w:val="40"/>
    </w:rPr>
  </w:style>
  <w:style w:type="paragraph" w:styleId="Ttulo2">
    <w:name w:val="heading 2"/>
    <w:basedOn w:val="Normal"/>
    <w:next w:val="Normal"/>
    <w:link w:val="Ttulo2Car"/>
    <w:uiPriority w:val="9"/>
    <w:semiHidden/>
    <w:unhideWhenUsed/>
    <w:qFormat/>
    <w:rsid w:val="00E850F7"/>
    <w:pPr>
      <w:keepNext/>
      <w:keepLines/>
      <w:spacing w:before="160" w:after="80"/>
      <w:outlineLvl w:val="1"/>
    </w:pPr>
    <w:rPr>
      <w:rFonts w:asciiTheme="majorHAnsi" w:eastAsiaTheme="majorEastAsia" w:hAnsiTheme="majorHAnsi" w:cstheme="majorBidi"/>
      <w:color w:val="3E762A" w:themeColor="accent1" w:themeShade="BF"/>
      <w:sz w:val="32"/>
      <w:szCs w:val="32"/>
    </w:rPr>
  </w:style>
  <w:style w:type="paragraph" w:styleId="Ttulo3">
    <w:name w:val="heading 3"/>
    <w:basedOn w:val="Normal"/>
    <w:next w:val="Normal"/>
    <w:link w:val="Ttulo3Car"/>
    <w:uiPriority w:val="9"/>
    <w:semiHidden/>
    <w:unhideWhenUsed/>
    <w:qFormat/>
    <w:rsid w:val="00E850F7"/>
    <w:pPr>
      <w:keepNext/>
      <w:keepLines/>
      <w:spacing w:before="160" w:after="80"/>
      <w:outlineLvl w:val="2"/>
    </w:pPr>
    <w:rPr>
      <w:rFonts w:eastAsiaTheme="majorEastAsia" w:cstheme="majorBidi"/>
      <w:color w:val="3E762A" w:themeColor="accent1" w:themeShade="BF"/>
      <w:sz w:val="28"/>
      <w:szCs w:val="28"/>
    </w:rPr>
  </w:style>
  <w:style w:type="paragraph" w:styleId="Ttulo4">
    <w:name w:val="heading 4"/>
    <w:basedOn w:val="Normal"/>
    <w:next w:val="Normal"/>
    <w:link w:val="Ttulo4Car"/>
    <w:uiPriority w:val="9"/>
    <w:semiHidden/>
    <w:unhideWhenUsed/>
    <w:qFormat/>
    <w:rsid w:val="00E850F7"/>
    <w:pPr>
      <w:keepNext/>
      <w:keepLines/>
      <w:spacing w:before="80" w:after="40"/>
      <w:outlineLvl w:val="3"/>
    </w:pPr>
    <w:rPr>
      <w:rFonts w:eastAsiaTheme="majorEastAsia" w:cstheme="majorBidi"/>
      <w:i/>
      <w:iCs/>
      <w:color w:val="3E762A" w:themeColor="accent1" w:themeShade="BF"/>
    </w:rPr>
  </w:style>
  <w:style w:type="paragraph" w:styleId="Ttulo5">
    <w:name w:val="heading 5"/>
    <w:basedOn w:val="Normal"/>
    <w:next w:val="Normal"/>
    <w:link w:val="Ttulo5Car"/>
    <w:uiPriority w:val="9"/>
    <w:semiHidden/>
    <w:unhideWhenUsed/>
    <w:qFormat/>
    <w:rsid w:val="00E850F7"/>
    <w:pPr>
      <w:keepNext/>
      <w:keepLines/>
      <w:spacing w:before="80" w:after="40"/>
      <w:outlineLvl w:val="4"/>
    </w:pPr>
    <w:rPr>
      <w:rFonts w:eastAsiaTheme="majorEastAsia" w:cstheme="majorBidi"/>
      <w:color w:val="3E762A" w:themeColor="accent1" w:themeShade="BF"/>
    </w:rPr>
  </w:style>
  <w:style w:type="paragraph" w:styleId="Ttulo6">
    <w:name w:val="heading 6"/>
    <w:basedOn w:val="Normal"/>
    <w:next w:val="Normal"/>
    <w:link w:val="Ttulo6Car"/>
    <w:uiPriority w:val="9"/>
    <w:semiHidden/>
    <w:unhideWhenUsed/>
    <w:qFormat/>
    <w:rsid w:val="00E850F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850F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850F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850F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850F7"/>
    <w:rPr>
      <w:rFonts w:asciiTheme="majorHAnsi" w:eastAsiaTheme="majorEastAsia" w:hAnsiTheme="majorHAnsi" w:cstheme="majorBidi"/>
      <w:color w:val="3E762A" w:themeColor="accent1" w:themeShade="BF"/>
      <w:sz w:val="40"/>
      <w:szCs w:val="40"/>
    </w:rPr>
  </w:style>
  <w:style w:type="character" w:customStyle="1" w:styleId="Ttulo2Car">
    <w:name w:val="Título 2 Car"/>
    <w:basedOn w:val="Fuentedeprrafopredeter"/>
    <w:link w:val="Ttulo2"/>
    <w:uiPriority w:val="9"/>
    <w:semiHidden/>
    <w:rsid w:val="00E850F7"/>
    <w:rPr>
      <w:rFonts w:asciiTheme="majorHAnsi" w:eastAsiaTheme="majorEastAsia" w:hAnsiTheme="majorHAnsi" w:cstheme="majorBidi"/>
      <w:color w:val="3E762A" w:themeColor="accent1" w:themeShade="BF"/>
      <w:sz w:val="32"/>
      <w:szCs w:val="32"/>
    </w:rPr>
  </w:style>
  <w:style w:type="character" w:customStyle="1" w:styleId="Ttulo3Car">
    <w:name w:val="Título 3 Car"/>
    <w:basedOn w:val="Fuentedeprrafopredeter"/>
    <w:link w:val="Ttulo3"/>
    <w:uiPriority w:val="9"/>
    <w:semiHidden/>
    <w:rsid w:val="00E850F7"/>
    <w:rPr>
      <w:rFonts w:eastAsiaTheme="majorEastAsia" w:cstheme="majorBidi"/>
      <w:color w:val="3E762A" w:themeColor="accent1" w:themeShade="BF"/>
      <w:sz w:val="28"/>
      <w:szCs w:val="28"/>
    </w:rPr>
  </w:style>
  <w:style w:type="character" w:customStyle="1" w:styleId="Ttulo4Car">
    <w:name w:val="Título 4 Car"/>
    <w:basedOn w:val="Fuentedeprrafopredeter"/>
    <w:link w:val="Ttulo4"/>
    <w:uiPriority w:val="9"/>
    <w:semiHidden/>
    <w:rsid w:val="00E850F7"/>
    <w:rPr>
      <w:rFonts w:eastAsiaTheme="majorEastAsia" w:cstheme="majorBidi"/>
      <w:i/>
      <w:iCs/>
      <w:color w:val="3E762A" w:themeColor="accent1" w:themeShade="BF"/>
    </w:rPr>
  </w:style>
  <w:style w:type="character" w:customStyle="1" w:styleId="Ttulo5Car">
    <w:name w:val="Título 5 Car"/>
    <w:basedOn w:val="Fuentedeprrafopredeter"/>
    <w:link w:val="Ttulo5"/>
    <w:uiPriority w:val="9"/>
    <w:semiHidden/>
    <w:rsid w:val="00E850F7"/>
    <w:rPr>
      <w:rFonts w:eastAsiaTheme="majorEastAsia" w:cstheme="majorBidi"/>
      <w:color w:val="3E762A" w:themeColor="accent1" w:themeShade="BF"/>
    </w:rPr>
  </w:style>
  <w:style w:type="character" w:customStyle="1" w:styleId="Ttulo6Car">
    <w:name w:val="Título 6 Car"/>
    <w:basedOn w:val="Fuentedeprrafopredeter"/>
    <w:link w:val="Ttulo6"/>
    <w:uiPriority w:val="9"/>
    <w:semiHidden/>
    <w:rsid w:val="00E850F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850F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850F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850F7"/>
    <w:rPr>
      <w:rFonts w:eastAsiaTheme="majorEastAsia" w:cstheme="majorBidi"/>
      <w:color w:val="272727" w:themeColor="text1" w:themeTint="D8"/>
    </w:rPr>
  </w:style>
  <w:style w:type="paragraph" w:styleId="Ttulo">
    <w:name w:val="Title"/>
    <w:basedOn w:val="Normal"/>
    <w:next w:val="Normal"/>
    <w:link w:val="TtuloCar"/>
    <w:uiPriority w:val="10"/>
    <w:qFormat/>
    <w:rsid w:val="00E850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850F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850F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850F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850F7"/>
    <w:pPr>
      <w:spacing w:before="160"/>
      <w:jc w:val="center"/>
    </w:pPr>
    <w:rPr>
      <w:i/>
      <w:iCs/>
      <w:color w:val="404040" w:themeColor="text1" w:themeTint="BF"/>
    </w:rPr>
  </w:style>
  <w:style w:type="character" w:customStyle="1" w:styleId="CitaCar">
    <w:name w:val="Cita Car"/>
    <w:basedOn w:val="Fuentedeprrafopredeter"/>
    <w:link w:val="Cita"/>
    <w:uiPriority w:val="29"/>
    <w:rsid w:val="00E850F7"/>
    <w:rPr>
      <w:i/>
      <w:iCs/>
      <w:color w:val="404040" w:themeColor="text1" w:themeTint="BF"/>
    </w:rPr>
  </w:style>
  <w:style w:type="paragraph" w:styleId="Prrafodelista">
    <w:name w:val="List Paragraph"/>
    <w:basedOn w:val="Normal"/>
    <w:uiPriority w:val="34"/>
    <w:qFormat/>
    <w:rsid w:val="00E850F7"/>
    <w:pPr>
      <w:ind w:left="720"/>
      <w:contextualSpacing/>
    </w:pPr>
  </w:style>
  <w:style w:type="character" w:styleId="nfasisintenso">
    <w:name w:val="Intense Emphasis"/>
    <w:basedOn w:val="Fuentedeprrafopredeter"/>
    <w:uiPriority w:val="21"/>
    <w:qFormat/>
    <w:rsid w:val="00E850F7"/>
    <w:rPr>
      <w:i/>
      <w:iCs/>
      <w:color w:val="3E762A" w:themeColor="accent1" w:themeShade="BF"/>
    </w:rPr>
  </w:style>
  <w:style w:type="paragraph" w:styleId="Citadestacada">
    <w:name w:val="Intense Quote"/>
    <w:basedOn w:val="Normal"/>
    <w:next w:val="Normal"/>
    <w:link w:val="CitadestacadaCar"/>
    <w:uiPriority w:val="30"/>
    <w:qFormat/>
    <w:rsid w:val="00E850F7"/>
    <w:pPr>
      <w:pBdr>
        <w:top w:val="single" w:sz="4" w:space="10" w:color="3E762A" w:themeColor="accent1" w:themeShade="BF"/>
        <w:bottom w:val="single" w:sz="4" w:space="10" w:color="3E762A" w:themeColor="accent1" w:themeShade="BF"/>
      </w:pBdr>
      <w:spacing w:before="360" w:after="360"/>
      <w:ind w:left="864" w:right="864"/>
      <w:jc w:val="center"/>
    </w:pPr>
    <w:rPr>
      <w:i/>
      <w:iCs/>
      <w:color w:val="3E762A" w:themeColor="accent1" w:themeShade="BF"/>
    </w:rPr>
  </w:style>
  <w:style w:type="character" w:customStyle="1" w:styleId="CitadestacadaCar">
    <w:name w:val="Cita destacada Car"/>
    <w:basedOn w:val="Fuentedeprrafopredeter"/>
    <w:link w:val="Citadestacada"/>
    <w:uiPriority w:val="30"/>
    <w:rsid w:val="00E850F7"/>
    <w:rPr>
      <w:i/>
      <w:iCs/>
      <w:color w:val="3E762A" w:themeColor="accent1" w:themeShade="BF"/>
    </w:rPr>
  </w:style>
  <w:style w:type="character" w:styleId="Referenciaintensa">
    <w:name w:val="Intense Reference"/>
    <w:basedOn w:val="Fuentedeprrafopredeter"/>
    <w:uiPriority w:val="32"/>
    <w:qFormat/>
    <w:rsid w:val="00E850F7"/>
    <w:rPr>
      <w:b/>
      <w:bCs/>
      <w:smallCaps/>
      <w:color w:val="3E762A" w:themeColor="accent1" w:themeShade="BF"/>
      <w:spacing w:val="5"/>
    </w:rPr>
  </w:style>
  <w:style w:type="paragraph" w:customStyle="1" w:styleId="Default">
    <w:name w:val="Default"/>
    <w:rsid w:val="00E850F7"/>
    <w:pPr>
      <w:autoSpaceDE w:val="0"/>
      <w:autoSpaceDN w:val="0"/>
      <w:adjustRightInd w:val="0"/>
      <w:spacing w:after="0" w:line="240" w:lineRule="auto"/>
    </w:pPr>
    <w:rPr>
      <w:rFonts w:ascii="Tahoma" w:hAnsi="Tahoma" w:cs="Tahoma"/>
      <w:color w:val="000000"/>
      <w:kern w:val="0"/>
      <w:sz w:val="24"/>
      <w:szCs w:val="24"/>
    </w:rPr>
  </w:style>
  <w:style w:type="paragraph" w:styleId="Encabezado">
    <w:name w:val="header"/>
    <w:basedOn w:val="Normal"/>
    <w:link w:val="EncabezadoCar"/>
    <w:uiPriority w:val="99"/>
    <w:unhideWhenUsed/>
    <w:rsid w:val="00B55D6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55D67"/>
  </w:style>
  <w:style w:type="paragraph" w:styleId="Piedepgina">
    <w:name w:val="footer"/>
    <w:basedOn w:val="Normal"/>
    <w:link w:val="PiedepginaCar"/>
    <w:uiPriority w:val="99"/>
    <w:unhideWhenUsed/>
    <w:rsid w:val="00B55D6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55D67"/>
  </w:style>
  <w:style w:type="table" w:styleId="Tablaconcuadrcula">
    <w:name w:val="Table Grid"/>
    <w:basedOn w:val="Tablanormal"/>
    <w:uiPriority w:val="39"/>
    <w:rsid w:val="00B55D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36168"/>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character" w:customStyle="1" w:styleId="ng-star-inserted">
    <w:name w:val="ng-star-inserted"/>
    <w:basedOn w:val="Fuentedeprrafopredeter"/>
    <w:rsid w:val="00C361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Verde">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19</Pages>
  <Words>6005</Words>
  <Characters>31348</Characters>
  <Application>Microsoft Office Word</Application>
  <DocSecurity>4</DocSecurity>
  <Lines>6269</Lines>
  <Paragraphs>4150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Almuzara</dc:creator>
  <cp:keywords/>
  <dc:description/>
  <cp:lastModifiedBy>Rafael García Rodríguez</cp:lastModifiedBy>
  <cp:revision>2</cp:revision>
  <dcterms:created xsi:type="dcterms:W3CDTF">2026-03-27T10:08:00Z</dcterms:created>
  <dcterms:modified xsi:type="dcterms:W3CDTF">2026-03-27T10:08:00Z</dcterms:modified>
</cp:coreProperties>
</file>